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15409" w14:textId="3B7663E3" w:rsidR="001657C3" w:rsidRPr="00EE3812" w:rsidRDefault="00EE3812" w:rsidP="0045721E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  <w:r w:rsidRPr="00EE3812">
        <w:rPr>
          <w:rFonts w:ascii="Arial" w:hAnsi="Arial" w:cs="Arial"/>
          <w:b/>
          <w:color w:val="000000"/>
          <w:sz w:val="20"/>
          <w:szCs w:val="20"/>
          <w:lang w:val="en-GB"/>
        </w:rPr>
        <w:t>Cochlear implant in single</w:t>
      </w:r>
      <w:r w:rsidR="0045721E">
        <w:rPr>
          <w:rFonts w:ascii="Arial" w:hAnsi="Arial" w:cs="Arial"/>
          <w:b/>
          <w:color w:val="000000"/>
          <w:sz w:val="20"/>
          <w:szCs w:val="20"/>
          <w:lang w:val="en-GB"/>
        </w:rPr>
        <w:t>-</w:t>
      </w:r>
      <w:r w:rsidRPr="00EE3812">
        <w:rPr>
          <w:rFonts w:ascii="Arial" w:hAnsi="Arial" w:cs="Arial"/>
          <w:b/>
          <w:color w:val="000000"/>
          <w:sz w:val="20"/>
          <w:szCs w:val="20"/>
          <w:lang w:val="en-GB"/>
        </w:rPr>
        <w:t>sided deafness and tinnitus: more than 10 years follow-up</w:t>
      </w:r>
    </w:p>
    <w:p w14:paraId="70BBCEF2" w14:textId="681173C4" w:rsidR="00015987" w:rsidRPr="00EE3812" w:rsidRDefault="00A83E4A" w:rsidP="0045721E">
      <w:p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EE3812">
        <w:rPr>
          <w:rFonts w:ascii="Arial" w:hAnsi="Arial" w:cs="Arial"/>
          <w:sz w:val="20"/>
          <w:szCs w:val="20"/>
          <w:lang w:val="nl-BE"/>
        </w:rPr>
        <w:t>Paul Van de Heyning</w:t>
      </w:r>
      <w:r w:rsidR="00CA03EA" w:rsidRPr="00EE3812">
        <w:rPr>
          <w:rFonts w:ascii="Arial" w:hAnsi="Arial" w:cs="Arial"/>
          <w:sz w:val="20"/>
          <w:szCs w:val="20"/>
          <w:lang w:val="nl-BE"/>
        </w:rPr>
        <w:t xml:space="preserve"> MD PhD</w:t>
      </w:r>
      <w:r w:rsidRPr="00EE3812">
        <w:rPr>
          <w:rFonts w:ascii="Arial" w:hAnsi="Arial" w:cs="Arial"/>
          <w:sz w:val="20"/>
          <w:szCs w:val="20"/>
          <w:lang w:val="nl-BE"/>
        </w:rPr>
        <w:t xml:space="preserve"> and </w:t>
      </w:r>
      <w:r w:rsidR="00015987" w:rsidRPr="00EE3812">
        <w:rPr>
          <w:rFonts w:ascii="Arial" w:hAnsi="Arial" w:cs="Arial"/>
          <w:sz w:val="20"/>
          <w:szCs w:val="20"/>
          <w:lang w:val="nl-BE"/>
        </w:rPr>
        <w:t>Griet Mertens</w:t>
      </w:r>
      <w:r w:rsidR="00CA03EA" w:rsidRPr="00EE3812">
        <w:rPr>
          <w:rFonts w:ascii="Arial" w:hAnsi="Arial" w:cs="Arial"/>
          <w:sz w:val="20"/>
          <w:szCs w:val="20"/>
          <w:lang w:val="nl-BE"/>
        </w:rPr>
        <w:t xml:space="preserve"> PhD</w:t>
      </w:r>
    </w:p>
    <w:p w14:paraId="784D9512" w14:textId="5CEFF74D" w:rsidR="00015987" w:rsidRPr="000E3426" w:rsidRDefault="008463E5" w:rsidP="0045721E">
      <w:pPr>
        <w:spacing w:line="360" w:lineRule="auto"/>
        <w:rPr>
          <w:rFonts w:ascii="Arial" w:hAnsi="Arial" w:cs="Arial"/>
          <w:sz w:val="20"/>
          <w:szCs w:val="20"/>
          <w:lang w:val="nl-BE"/>
        </w:rPr>
      </w:pPr>
      <w:hyperlink r:id="rId4" w:history="1">
        <w:r w:rsidR="0045721E" w:rsidRPr="0092221F">
          <w:rPr>
            <w:rStyle w:val="Hyperlink"/>
            <w:rFonts w:ascii="Arial" w:hAnsi="Arial" w:cs="Arial"/>
            <w:sz w:val="20"/>
            <w:szCs w:val="20"/>
            <w:lang w:val="en-GB"/>
          </w:rPr>
          <w:t>paul.vandeheyning@Uantwerpen.be</w:t>
        </w:r>
      </w:hyperlink>
      <w:r w:rsidR="000E3426" w:rsidRPr="000E3426">
        <w:rPr>
          <w:rFonts w:ascii="Arial" w:hAnsi="Arial" w:cs="Arial"/>
          <w:sz w:val="20"/>
          <w:szCs w:val="20"/>
          <w:lang w:val="en-GB"/>
        </w:rPr>
        <w:t xml:space="preserve"> </w:t>
      </w:r>
      <w:r w:rsidR="00015987" w:rsidRPr="000E3426">
        <w:rPr>
          <w:rFonts w:ascii="Arial" w:hAnsi="Arial" w:cs="Arial"/>
          <w:sz w:val="20"/>
          <w:szCs w:val="20"/>
          <w:lang w:val="en-GB"/>
        </w:rPr>
        <w:t xml:space="preserve">Dept. </w:t>
      </w:r>
      <w:r w:rsidR="007A0F5C" w:rsidRPr="000E3426">
        <w:rPr>
          <w:rFonts w:ascii="Arial" w:hAnsi="Arial" w:cs="Arial"/>
          <w:sz w:val="20"/>
          <w:szCs w:val="20"/>
          <w:lang w:val="en-GB"/>
        </w:rPr>
        <w:t xml:space="preserve">ORL </w:t>
      </w:r>
      <w:proofErr w:type="gramStart"/>
      <w:r w:rsidR="007A0F5C" w:rsidRPr="000E3426">
        <w:rPr>
          <w:rFonts w:ascii="Arial" w:hAnsi="Arial" w:cs="Arial"/>
          <w:sz w:val="20"/>
          <w:szCs w:val="20"/>
          <w:lang w:val="en-GB"/>
        </w:rPr>
        <w:t xml:space="preserve">HNS </w:t>
      </w:r>
      <w:r w:rsidR="00015987" w:rsidRPr="000E3426">
        <w:rPr>
          <w:rFonts w:ascii="Arial" w:hAnsi="Arial" w:cs="Arial"/>
          <w:sz w:val="20"/>
          <w:szCs w:val="20"/>
          <w:lang w:val="en-GB"/>
        </w:rPr>
        <w:t xml:space="preserve"> Antwe</w:t>
      </w:r>
      <w:r w:rsidR="00A83E4A" w:rsidRPr="000E3426">
        <w:rPr>
          <w:rFonts w:ascii="Arial" w:hAnsi="Arial" w:cs="Arial"/>
          <w:sz w:val="20"/>
          <w:szCs w:val="20"/>
          <w:lang w:val="en-GB"/>
        </w:rPr>
        <w:t>rp</w:t>
      </w:r>
      <w:proofErr w:type="gramEnd"/>
      <w:r w:rsidR="00A83E4A" w:rsidRPr="000E3426">
        <w:rPr>
          <w:rFonts w:ascii="Arial" w:hAnsi="Arial" w:cs="Arial"/>
          <w:sz w:val="20"/>
          <w:szCs w:val="20"/>
          <w:lang w:val="en-GB"/>
        </w:rPr>
        <w:t xml:space="preserve"> University</w:t>
      </w:r>
      <w:r w:rsidR="00015987" w:rsidRPr="000E3426">
        <w:rPr>
          <w:rFonts w:ascii="Arial" w:hAnsi="Arial" w:cs="Arial"/>
          <w:sz w:val="20"/>
          <w:szCs w:val="20"/>
          <w:lang w:val="en-GB"/>
        </w:rPr>
        <w:t>, Belgium</w:t>
      </w:r>
    </w:p>
    <w:p w14:paraId="535CB9D1" w14:textId="3E81EE60" w:rsidR="00015987" w:rsidRPr="00EE3812" w:rsidRDefault="0045721E" w:rsidP="0045721E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E3812">
        <w:rPr>
          <w:rFonts w:ascii="Arial" w:hAnsi="Arial" w:cs="Arial"/>
          <w:b/>
          <w:sz w:val="20"/>
          <w:szCs w:val="20"/>
          <w:lang w:val="en-US"/>
        </w:rPr>
        <w:t>AIM</w:t>
      </w:r>
      <w:r w:rsidR="00015987" w:rsidRPr="00EE3812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Pr="0045721E">
        <w:rPr>
          <w:rFonts w:ascii="Arial" w:hAnsi="Arial" w:cs="Arial"/>
          <w:sz w:val="20"/>
          <w:szCs w:val="20"/>
          <w:lang w:val="en-US"/>
        </w:rPr>
        <w:t>T</w:t>
      </w:r>
      <w:r w:rsidR="0092612B" w:rsidRPr="00EE3812">
        <w:rPr>
          <w:rFonts w:ascii="Arial" w:hAnsi="Arial" w:cs="Arial"/>
          <w:sz w:val="20"/>
          <w:szCs w:val="20"/>
          <w:lang w:val="en-US"/>
        </w:rPr>
        <w:t>o evaluate</w:t>
      </w:r>
      <w:r w:rsidR="00015987" w:rsidRPr="00EE3812">
        <w:rPr>
          <w:rFonts w:ascii="Arial" w:hAnsi="Arial" w:cs="Arial"/>
          <w:sz w:val="20"/>
          <w:szCs w:val="20"/>
          <w:lang w:val="en-US"/>
        </w:rPr>
        <w:t xml:space="preserve"> </w:t>
      </w:r>
      <w:r w:rsidR="0092612B" w:rsidRPr="00EE3812">
        <w:rPr>
          <w:rFonts w:ascii="Arial" w:hAnsi="Arial" w:cs="Arial"/>
          <w:sz w:val="20"/>
          <w:szCs w:val="20"/>
          <w:lang w:val="en-US"/>
        </w:rPr>
        <w:t xml:space="preserve">the </w:t>
      </w:r>
      <w:r w:rsidR="00015987" w:rsidRPr="00EE3812">
        <w:rPr>
          <w:rFonts w:ascii="Arial" w:hAnsi="Arial" w:cs="Arial"/>
          <w:sz w:val="20"/>
          <w:szCs w:val="20"/>
          <w:lang w:val="en-US"/>
        </w:rPr>
        <w:t xml:space="preserve">long-term (LT) auditory outcomes </w:t>
      </w:r>
      <w:r>
        <w:rPr>
          <w:rFonts w:ascii="Arial" w:hAnsi="Arial" w:cs="Arial"/>
          <w:sz w:val="20"/>
          <w:szCs w:val="20"/>
          <w:lang w:val="en-US"/>
        </w:rPr>
        <w:t xml:space="preserve">for </w:t>
      </w:r>
      <w:r w:rsidR="00015987" w:rsidRPr="00EE3812">
        <w:rPr>
          <w:rFonts w:ascii="Arial" w:hAnsi="Arial" w:cs="Arial"/>
          <w:sz w:val="20"/>
          <w:szCs w:val="20"/>
          <w:lang w:val="en-US"/>
        </w:rPr>
        <w:t xml:space="preserve">up to 10 years </w:t>
      </w:r>
      <w:r w:rsidR="00AD4F23" w:rsidRPr="00EE3812">
        <w:rPr>
          <w:rFonts w:ascii="Arial" w:hAnsi="Arial" w:cs="Arial"/>
          <w:sz w:val="20"/>
          <w:szCs w:val="20"/>
          <w:lang w:val="en-US"/>
        </w:rPr>
        <w:t xml:space="preserve">of Cochlear Implantation (CI) </w:t>
      </w:r>
      <w:r w:rsidR="00015987" w:rsidRPr="00EE3812">
        <w:rPr>
          <w:rFonts w:ascii="Arial" w:hAnsi="Arial" w:cs="Arial"/>
          <w:sz w:val="20"/>
          <w:szCs w:val="20"/>
          <w:lang w:val="en-US"/>
        </w:rPr>
        <w:t xml:space="preserve">in </w:t>
      </w:r>
      <w:r>
        <w:rPr>
          <w:rFonts w:ascii="Arial" w:hAnsi="Arial" w:cs="Arial"/>
          <w:sz w:val="20"/>
          <w:szCs w:val="20"/>
          <w:lang w:val="en-US"/>
        </w:rPr>
        <w:t xml:space="preserve">an </w:t>
      </w:r>
      <w:r w:rsidR="00AD4F23" w:rsidRPr="00EE3812">
        <w:rPr>
          <w:rFonts w:ascii="Arial" w:hAnsi="Arial" w:cs="Arial"/>
          <w:sz w:val="20"/>
          <w:szCs w:val="20"/>
          <w:lang w:val="en-US"/>
        </w:rPr>
        <w:t>acquired Single-Sided Deaf Group (SSD) and an Asymmetric Hearing Loss Group (AHL)</w:t>
      </w:r>
      <w:r w:rsidR="00015987" w:rsidRPr="00EE3812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77A3D4C0" w14:textId="53FD8DC4" w:rsidR="00015987" w:rsidRPr="00EE3812" w:rsidRDefault="00015987" w:rsidP="0045721E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E3812">
        <w:rPr>
          <w:rFonts w:ascii="Arial" w:hAnsi="Arial" w:cs="Arial"/>
          <w:b/>
          <w:sz w:val="20"/>
          <w:szCs w:val="20"/>
          <w:lang w:val="en-US"/>
        </w:rPr>
        <w:t xml:space="preserve">SUBJECTS: </w:t>
      </w:r>
      <w:r w:rsidR="00AD4F23" w:rsidRPr="00EE3812">
        <w:rPr>
          <w:rFonts w:ascii="Arial" w:hAnsi="Arial" w:cs="Arial"/>
          <w:sz w:val="20"/>
          <w:szCs w:val="20"/>
          <w:lang w:val="en-US"/>
        </w:rPr>
        <w:t xml:space="preserve">30 CI patients with SSD or AHL of </w:t>
      </w:r>
      <w:r w:rsidRPr="00EE3812">
        <w:rPr>
          <w:rFonts w:ascii="Arial" w:hAnsi="Arial" w:cs="Arial"/>
          <w:sz w:val="20"/>
          <w:szCs w:val="20"/>
          <w:lang w:val="en-US"/>
        </w:rPr>
        <w:t xml:space="preserve">55 years (22 - 71 </w:t>
      </w:r>
      <w:proofErr w:type="spellStart"/>
      <w:r w:rsidRPr="00EE3812">
        <w:rPr>
          <w:rFonts w:ascii="Arial" w:hAnsi="Arial" w:cs="Arial"/>
          <w:sz w:val="20"/>
          <w:szCs w:val="20"/>
          <w:lang w:val="en-US"/>
        </w:rPr>
        <w:t>yr</w:t>
      </w:r>
      <w:proofErr w:type="spellEnd"/>
      <w:r w:rsidRPr="00EE3812">
        <w:rPr>
          <w:rFonts w:ascii="Arial" w:hAnsi="Arial" w:cs="Arial"/>
          <w:sz w:val="20"/>
          <w:szCs w:val="20"/>
          <w:lang w:val="en-US"/>
        </w:rPr>
        <w:t xml:space="preserve">) and </w:t>
      </w:r>
      <w:r w:rsidR="00AD4F23" w:rsidRPr="00EE3812">
        <w:rPr>
          <w:rFonts w:ascii="Arial" w:hAnsi="Arial" w:cs="Arial"/>
          <w:sz w:val="20"/>
          <w:szCs w:val="20"/>
          <w:lang w:val="en-US"/>
        </w:rPr>
        <w:t xml:space="preserve">8 </w:t>
      </w:r>
      <w:r w:rsidRPr="00EE3812">
        <w:rPr>
          <w:rFonts w:ascii="Arial" w:hAnsi="Arial" w:cs="Arial"/>
          <w:sz w:val="20"/>
          <w:szCs w:val="20"/>
          <w:lang w:val="en-US"/>
        </w:rPr>
        <w:t xml:space="preserve">years (3 - 10 </w:t>
      </w:r>
      <w:proofErr w:type="spellStart"/>
      <w:r w:rsidRPr="00EE3812">
        <w:rPr>
          <w:rFonts w:ascii="Arial" w:hAnsi="Arial" w:cs="Arial"/>
          <w:sz w:val="20"/>
          <w:szCs w:val="20"/>
          <w:lang w:val="en-US"/>
        </w:rPr>
        <w:t>yr</w:t>
      </w:r>
      <w:proofErr w:type="spellEnd"/>
      <w:r w:rsidRPr="00EE3812">
        <w:rPr>
          <w:rFonts w:ascii="Arial" w:hAnsi="Arial" w:cs="Arial"/>
          <w:sz w:val="20"/>
          <w:szCs w:val="20"/>
          <w:lang w:val="en-US"/>
        </w:rPr>
        <w:t xml:space="preserve">) </w:t>
      </w:r>
      <w:r w:rsidR="0045721E">
        <w:rPr>
          <w:rFonts w:ascii="Arial" w:hAnsi="Arial" w:cs="Arial"/>
          <w:sz w:val="20"/>
          <w:szCs w:val="20"/>
          <w:lang w:val="en-US"/>
        </w:rPr>
        <w:t xml:space="preserve">of </w:t>
      </w:r>
      <w:r w:rsidRPr="00EE3812">
        <w:rPr>
          <w:rFonts w:ascii="Arial" w:hAnsi="Arial" w:cs="Arial"/>
          <w:sz w:val="20"/>
          <w:szCs w:val="20"/>
          <w:lang w:val="en-US"/>
        </w:rPr>
        <w:t>experience with their CI</w:t>
      </w:r>
      <w:r w:rsidR="00AD4F23" w:rsidRPr="00EE3812">
        <w:rPr>
          <w:rFonts w:ascii="Arial" w:hAnsi="Arial" w:cs="Arial"/>
          <w:sz w:val="20"/>
          <w:szCs w:val="20"/>
          <w:lang w:val="en-US"/>
        </w:rPr>
        <w:t xml:space="preserve"> (Med-El full electrode 31 or 28mm, fine structure FS4 </w:t>
      </w:r>
      <w:proofErr w:type="spellStart"/>
      <w:r w:rsidR="00AD4F23" w:rsidRPr="00EE3812">
        <w:rPr>
          <w:rFonts w:ascii="Arial" w:hAnsi="Arial" w:cs="Arial"/>
          <w:sz w:val="20"/>
          <w:szCs w:val="20"/>
          <w:lang w:val="en-US"/>
        </w:rPr>
        <w:t>fiotting</w:t>
      </w:r>
      <w:proofErr w:type="spellEnd"/>
      <w:r w:rsidR="00AD4F23" w:rsidRPr="00EE3812">
        <w:rPr>
          <w:rFonts w:ascii="Arial" w:hAnsi="Arial" w:cs="Arial"/>
          <w:sz w:val="20"/>
          <w:szCs w:val="20"/>
          <w:lang w:val="en-US"/>
        </w:rPr>
        <w:t>) at the LT testing.</w:t>
      </w:r>
    </w:p>
    <w:p w14:paraId="3CF7D96C" w14:textId="31991BE8" w:rsidR="00015987" w:rsidRPr="00EE3812" w:rsidRDefault="00015987" w:rsidP="0045721E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E3812">
        <w:rPr>
          <w:rFonts w:ascii="Arial" w:hAnsi="Arial" w:cs="Arial"/>
          <w:b/>
          <w:sz w:val="20"/>
          <w:szCs w:val="20"/>
          <w:lang w:val="en-US"/>
        </w:rPr>
        <w:t xml:space="preserve">METHODS: </w:t>
      </w:r>
      <w:r w:rsidR="00AD4F23" w:rsidRPr="00EE3812">
        <w:rPr>
          <w:rFonts w:ascii="Arial" w:hAnsi="Arial" w:cs="Arial"/>
          <w:sz w:val="20"/>
          <w:szCs w:val="20"/>
          <w:lang w:val="en-US"/>
        </w:rPr>
        <w:t>S</w:t>
      </w:r>
      <w:r w:rsidRPr="00EE3812">
        <w:rPr>
          <w:rFonts w:ascii="Arial" w:hAnsi="Arial" w:cs="Arial"/>
          <w:sz w:val="20"/>
          <w:szCs w:val="20"/>
          <w:lang w:val="en-US"/>
        </w:rPr>
        <w:t>tructured interview</w:t>
      </w:r>
      <w:r w:rsidR="00AD4F23" w:rsidRPr="00EE3812">
        <w:rPr>
          <w:rFonts w:ascii="Arial" w:hAnsi="Arial" w:cs="Arial"/>
          <w:sz w:val="20"/>
          <w:szCs w:val="20"/>
          <w:lang w:val="en-US"/>
        </w:rPr>
        <w:t xml:space="preserve"> evaluated CI use</w:t>
      </w:r>
      <w:r w:rsidRPr="00EE3812">
        <w:rPr>
          <w:rFonts w:ascii="Arial" w:hAnsi="Arial" w:cs="Arial"/>
          <w:sz w:val="20"/>
          <w:szCs w:val="20"/>
          <w:lang w:val="en-US"/>
        </w:rPr>
        <w:t xml:space="preserve">. </w:t>
      </w:r>
      <w:r w:rsidR="00AD4F23" w:rsidRPr="00EE3812">
        <w:rPr>
          <w:rFonts w:ascii="Arial" w:hAnsi="Arial" w:cs="Arial"/>
          <w:sz w:val="20"/>
          <w:szCs w:val="20"/>
          <w:lang w:val="en-US"/>
        </w:rPr>
        <w:t xml:space="preserve">Adaptive </w:t>
      </w:r>
      <w:r w:rsidRPr="00EE3812">
        <w:rPr>
          <w:rFonts w:ascii="Arial" w:hAnsi="Arial" w:cs="Arial"/>
          <w:sz w:val="20"/>
          <w:szCs w:val="20"/>
          <w:lang w:val="en-US"/>
        </w:rPr>
        <w:t>Speech perception in noise and sound localization were assessed in two listening conditions, i.e.</w:t>
      </w:r>
      <w:r w:rsidR="0045721E">
        <w:rPr>
          <w:rFonts w:ascii="Arial" w:hAnsi="Arial" w:cs="Arial"/>
          <w:sz w:val="20"/>
          <w:szCs w:val="20"/>
          <w:lang w:val="en-US"/>
        </w:rPr>
        <w:t>,</w:t>
      </w:r>
      <w:r w:rsidRPr="00EE381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E3812">
        <w:rPr>
          <w:rFonts w:ascii="Arial" w:hAnsi="Arial" w:cs="Arial"/>
          <w:sz w:val="20"/>
          <w:szCs w:val="20"/>
          <w:lang w:val="en-US"/>
        </w:rPr>
        <w:t>CI</w:t>
      </w:r>
      <w:r w:rsidRPr="00EE3812">
        <w:rPr>
          <w:rFonts w:ascii="Arial" w:hAnsi="Arial" w:cs="Arial"/>
          <w:sz w:val="20"/>
          <w:szCs w:val="20"/>
          <w:vertAlign w:val="subscript"/>
          <w:lang w:val="en-US"/>
        </w:rPr>
        <w:t>off</w:t>
      </w:r>
      <w:proofErr w:type="spellEnd"/>
      <w:r w:rsidRPr="00EE3812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proofErr w:type="gramStart"/>
      <w:r w:rsidRPr="00EE3812">
        <w:rPr>
          <w:rFonts w:ascii="Arial" w:hAnsi="Arial" w:cs="Arial"/>
          <w:sz w:val="20"/>
          <w:szCs w:val="20"/>
          <w:lang w:val="en-US"/>
        </w:rPr>
        <w:t>CI</w:t>
      </w:r>
      <w:r w:rsidRPr="00EE3812">
        <w:rPr>
          <w:rFonts w:ascii="Arial" w:hAnsi="Arial" w:cs="Arial"/>
          <w:sz w:val="20"/>
          <w:szCs w:val="20"/>
          <w:vertAlign w:val="subscript"/>
          <w:lang w:val="en-US"/>
        </w:rPr>
        <w:t>on</w:t>
      </w:r>
      <w:proofErr w:type="spellEnd"/>
      <w:r w:rsidR="0045721E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="0045721E">
        <w:rPr>
          <w:rFonts w:ascii="Arial" w:hAnsi="Arial" w:cs="Arial"/>
          <w:sz w:val="20"/>
          <w:szCs w:val="20"/>
          <w:vertAlign w:val="subscript"/>
          <w:lang w:val="en-US"/>
        </w:rPr>
        <w:t>,</w:t>
      </w:r>
      <w:proofErr w:type="gramEnd"/>
      <w:r w:rsidR="00A5464C" w:rsidRPr="00EE3812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EE3812">
        <w:rPr>
          <w:rFonts w:ascii="Arial" w:hAnsi="Arial" w:cs="Arial"/>
          <w:sz w:val="20"/>
          <w:szCs w:val="20"/>
          <w:lang w:val="en-US"/>
        </w:rPr>
        <w:t>summation effect (S</w:t>
      </w:r>
      <w:r w:rsidRPr="00EE3812">
        <w:rPr>
          <w:rFonts w:ascii="Arial" w:hAnsi="Arial" w:cs="Arial"/>
          <w:sz w:val="20"/>
          <w:szCs w:val="20"/>
          <w:vertAlign w:val="subscript"/>
          <w:lang w:val="en-US"/>
        </w:rPr>
        <w:t>0</w:t>
      </w:r>
      <w:r w:rsidRPr="00EE3812">
        <w:rPr>
          <w:rFonts w:ascii="Arial" w:hAnsi="Arial" w:cs="Arial"/>
          <w:sz w:val="20"/>
          <w:szCs w:val="20"/>
          <w:lang w:val="en-US"/>
        </w:rPr>
        <w:t>N</w:t>
      </w:r>
      <w:r w:rsidRPr="00EE3812">
        <w:rPr>
          <w:rFonts w:ascii="Arial" w:hAnsi="Arial" w:cs="Arial"/>
          <w:sz w:val="20"/>
          <w:szCs w:val="20"/>
          <w:vertAlign w:val="subscript"/>
          <w:lang w:val="en-US"/>
        </w:rPr>
        <w:t>0</w:t>
      </w:r>
      <w:r w:rsidRPr="00EE3812">
        <w:rPr>
          <w:rFonts w:ascii="Arial" w:hAnsi="Arial" w:cs="Arial"/>
          <w:sz w:val="20"/>
          <w:szCs w:val="20"/>
          <w:lang w:val="en-US"/>
        </w:rPr>
        <w:t>), squelch effect (S</w:t>
      </w:r>
      <w:r w:rsidRPr="00EE3812">
        <w:rPr>
          <w:rFonts w:ascii="Arial" w:hAnsi="Arial" w:cs="Arial"/>
          <w:sz w:val="20"/>
          <w:szCs w:val="20"/>
          <w:vertAlign w:val="subscript"/>
          <w:lang w:val="en-US"/>
        </w:rPr>
        <w:t>0</w:t>
      </w:r>
      <w:r w:rsidRPr="00EE3812">
        <w:rPr>
          <w:rFonts w:ascii="Arial" w:hAnsi="Arial" w:cs="Arial"/>
          <w:sz w:val="20"/>
          <w:szCs w:val="20"/>
          <w:lang w:val="en-US"/>
        </w:rPr>
        <w:t>N</w:t>
      </w:r>
      <w:r w:rsidRPr="00EE3812">
        <w:rPr>
          <w:rFonts w:ascii="Arial" w:hAnsi="Arial" w:cs="Arial"/>
          <w:sz w:val="20"/>
          <w:szCs w:val="20"/>
          <w:vertAlign w:val="subscript"/>
          <w:lang w:val="en-US"/>
        </w:rPr>
        <w:t>CI</w:t>
      </w:r>
      <w:r w:rsidRPr="00EE3812">
        <w:rPr>
          <w:rFonts w:ascii="Arial" w:hAnsi="Arial" w:cs="Arial"/>
          <w:sz w:val="20"/>
          <w:szCs w:val="20"/>
          <w:lang w:val="en-US"/>
        </w:rPr>
        <w:t>)</w:t>
      </w:r>
      <w:r w:rsidR="0045721E">
        <w:rPr>
          <w:rFonts w:ascii="Arial" w:hAnsi="Arial" w:cs="Arial"/>
          <w:sz w:val="20"/>
          <w:szCs w:val="20"/>
          <w:lang w:val="en-US"/>
        </w:rPr>
        <w:t>,</w:t>
      </w:r>
      <w:r w:rsidRPr="00EE3812">
        <w:rPr>
          <w:rFonts w:ascii="Arial" w:hAnsi="Arial" w:cs="Arial"/>
          <w:sz w:val="20"/>
          <w:szCs w:val="20"/>
          <w:lang w:val="en-US"/>
        </w:rPr>
        <w:t xml:space="preserve"> and a combined head shadow effect (S</w:t>
      </w:r>
      <w:r w:rsidRPr="00EE3812">
        <w:rPr>
          <w:rFonts w:ascii="Arial" w:hAnsi="Arial" w:cs="Arial"/>
          <w:sz w:val="20"/>
          <w:szCs w:val="20"/>
          <w:vertAlign w:val="subscript"/>
          <w:lang w:val="en-US"/>
        </w:rPr>
        <w:t>CI</w:t>
      </w:r>
      <w:r w:rsidRPr="00EE3812">
        <w:rPr>
          <w:rFonts w:ascii="Arial" w:hAnsi="Arial" w:cs="Arial"/>
          <w:sz w:val="20"/>
          <w:szCs w:val="20"/>
          <w:lang w:val="en-US"/>
        </w:rPr>
        <w:t>N</w:t>
      </w:r>
      <w:r w:rsidRPr="00EE3812">
        <w:rPr>
          <w:rFonts w:ascii="Arial" w:hAnsi="Arial" w:cs="Arial"/>
          <w:sz w:val="20"/>
          <w:szCs w:val="20"/>
          <w:vertAlign w:val="subscript"/>
          <w:lang w:val="en-US"/>
        </w:rPr>
        <w:t>0</w:t>
      </w:r>
      <w:r w:rsidRPr="00EE3812">
        <w:rPr>
          <w:rFonts w:ascii="Arial" w:hAnsi="Arial" w:cs="Arial"/>
          <w:sz w:val="20"/>
          <w:szCs w:val="20"/>
          <w:lang w:val="en-US"/>
        </w:rPr>
        <w:t>)</w:t>
      </w:r>
      <w:r w:rsidR="00A5464C" w:rsidRPr="00EE3812">
        <w:rPr>
          <w:rFonts w:ascii="Arial" w:hAnsi="Arial" w:cs="Arial"/>
          <w:sz w:val="20"/>
          <w:szCs w:val="20"/>
          <w:lang w:val="en-US"/>
        </w:rPr>
        <w:t xml:space="preserve"> were obtained</w:t>
      </w:r>
      <w:r w:rsidRPr="00EE3812">
        <w:rPr>
          <w:rFonts w:ascii="Arial" w:hAnsi="Arial" w:cs="Arial"/>
          <w:sz w:val="20"/>
          <w:szCs w:val="20"/>
          <w:lang w:val="en-US"/>
        </w:rPr>
        <w:t xml:space="preserve">. Sound localization </w:t>
      </w:r>
      <w:r w:rsidR="00A5464C" w:rsidRPr="00EE3812">
        <w:rPr>
          <w:rFonts w:ascii="Arial" w:hAnsi="Arial" w:cs="Arial"/>
          <w:sz w:val="20"/>
          <w:szCs w:val="20"/>
          <w:lang w:val="en-US"/>
        </w:rPr>
        <w:t>used</w:t>
      </w:r>
      <w:r w:rsidRPr="00EE3812">
        <w:rPr>
          <w:rFonts w:ascii="Arial" w:hAnsi="Arial" w:cs="Arial"/>
          <w:sz w:val="20"/>
          <w:szCs w:val="20"/>
          <w:lang w:val="en-US"/>
        </w:rPr>
        <w:t xml:space="preserve"> a frontal </w:t>
      </w:r>
      <w:r w:rsidR="00A5464C" w:rsidRPr="00EE3812">
        <w:rPr>
          <w:rFonts w:ascii="Arial" w:hAnsi="Arial" w:cs="Arial"/>
          <w:sz w:val="20"/>
          <w:szCs w:val="20"/>
          <w:lang w:val="en-US"/>
        </w:rPr>
        <w:t>9</w:t>
      </w:r>
      <w:r w:rsidR="0045721E">
        <w:rPr>
          <w:rFonts w:ascii="Arial" w:hAnsi="Arial" w:cs="Arial"/>
          <w:sz w:val="20"/>
          <w:szCs w:val="20"/>
          <w:lang w:val="en-US"/>
        </w:rPr>
        <w:t>-</w:t>
      </w:r>
      <w:r w:rsidR="00A5464C" w:rsidRPr="00EE3812">
        <w:rPr>
          <w:rFonts w:ascii="Arial" w:hAnsi="Arial" w:cs="Arial"/>
          <w:sz w:val="20"/>
          <w:szCs w:val="20"/>
          <w:lang w:val="en-US"/>
        </w:rPr>
        <w:t xml:space="preserve">speaker </w:t>
      </w:r>
      <w:r w:rsidRPr="00EE3812">
        <w:rPr>
          <w:rFonts w:ascii="Arial" w:hAnsi="Arial" w:cs="Arial"/>
          <w:sz w:val="20"/>
          <w:szCs w:val="20"/>
          <w:lang w:val="en-US"/>
        </w:rPr>
        <w:t>semicircle</w:t>
      </w:r>
      <w:r w:rsidR="00A5464C" w:rsidRPr="00EE3812">
        <w:rPr>
          <w:rFonts w:ascii="Arial" w:hAnsi="Arial" w:cs="Arial"/>
          <w:sz w:val="20"/>
          <w:szCs w:val="20"/>
          <w:lang w:val="en-US"/>
        </w:rPr>
        <w:t xml:space="preserve"> with </w:t>
      </w:r>
      <w:r w:rsidRPr="00EE3812">
        <w:rPr>
          <w:rFonts w:ascii="Arial" w:hAnsi="Arial" w:cs="Arial"/>
          <w:sz w:val="20"/>
          <w:szCs w:val="20"/>
          <w:lang w:val="en-US"/>
        </w:rPr>
        <w:t>CCITT noise bursts of 300</w:t>
      </w:r>
      <w:r w:rsidR="0045721E">
        <w:rPr>
          <w:rFonts w:ascii="Arial" w:hAnsi="Arial" w:cs="Arial"/>
          <w:sz w:val="20"/>
          <w:szCs w:val="20"/>
          <w:lang w:val="en-US"/>
        </w:rPr>
        <w:t>-</w:t>
      </w:r>
      <w:r w:rsidRPr="00EE3812">
        <w:rPr>
          <w:rFonts w:ascii="Arial" w:hAnsi="Arial" w:cs="Arial"/>
          <w:sz w:val="20"/>
          <w:szCs w:val="20"/>
          <w:lang w:val="en-US"/>
        </w:rPr>
        <w:t>ms duration</w:t>
      </w:r>
      <w:r w:rsidR="00A5464C" w:rsidRPr="00EE3812">
        <w:rPr>
          <w:rFonts w:ascii="Arial" w:hAnsi="Arial" w:cs="Arial"/>
          <w:sz w:val="20"/>
          <w:szCs w:val="20"/>
          <w:lang w:val="en-US"/>
        </w:rPr>
        <w:t>. QOL test included t</w:t>
      </w:r>
      <w:r w:rsidRPr="00EE3812">
        <w:rPr>
          <w:rFonts w:ascii="Arial" w:hAnsi="Arial" w:cs="Arial"/>
          <w:sz w:val="20"/>
          <w:szCs w:val="20"/>
          <w:lang w:val="en-US"/>
        </w:rPr>
        <w:t>he 12-item Speech, Spatial and other Qualities (SSQ</w:t>
      </w:r>
      <w:r w:rsidRPr="00EE3812">
        <w:rPr>
          <w:rFonts w:ascii="Arial" w:hAnsi="Arial" w:cs="Arial"/>
          <w:sz w:val="20"/>
          <w:szCs w:val="20"/>
          <w:vertAlign w:val="subscript"/>
          <w:lang w:val="en-US"/>
        </w:rPr>
        <w:t>12</w:t>
      </w:r>
      <w:r w:rsidRPr="00EE3812">
        <w:rPr>
          <w:rFonts w:ascii="Arial" w:hAnsi="Arial" w:cs="Arial"/>
          <w:sz w:val="20"/>
          <w:szCs w:val="20"/>
          <w:lang w:val="en-US"/>
        </w:rPr>
        <w:t>)</w:t>
      </w:r>
      <w:r w:rsidR="0045721E">
        <w:rPr>
          <w:rFonts w:ascii="Arial" w:hAnsi="Arial" w:cs="Arial"/>
          <w:sz w:val="20"/>
          <w:szCs w:val="20"/>
          <w:lang w:val="en-US"/>
        </w:rPr>
        <w:t>,</w:t>
      </w:r>
      <w:r w:rsidRPr="00EE3812">
        <w:rPr>
          <w:rFonts w:ascii="Arial" w:hAnsi="Arial" w:cs="Arial"/>
          <w:sz w:val="20"/>
          <w:szCs w:val="20"/>
          <w:lang w:val="en-US"/>
        </w:rPr>
        <w:t xml:space="preserve"> and the Hearing Implant Sound Quality Index (HISQUI</w:t>
      </w:r>
      <w:r w:rsidRPr="00EE3812">
        <w:rPr>
          <w:rFonts w:ascii="Arial" w:hAnsi="Arial" w:cs="Arial"/>
          <w:sz w:val="20"/>
          <w:szCs w:val="20"/>
          <w:vertAlign w:val="subscript"/>
          <w:lang w:val="en-US"/>
        </w:rPr>
        <w:t>19</w:t>
      </w:r>
      <w:r w:rsidRPr="00EE3812">
        <w:rPr>
          <w:rFonts w:ascii="Arial" w:hAnsi="Arial" w:cs="Arial"/>
          <w:sz w:val="20"/>
          <w:szCs w:val="20"/>
          <w:lang w:val="en-US"/>
        </w:rPr>
        <w:t>)</w:t>
      </w:r>
      <w:r w:rsidR="00AD4F23" w:rsidRPr="00EE3812">
        <w:rPr>
          <w:rFonts w:ascii="Arial" w:hAnsi="Arial" w:cs="Arial"/>
          <w:sz w:val="20"/>
          <w:szCs w:val="20"/>
          <w:lang w:val="en-US"/>
        </w:rPr>
        <w:t>. Tinnitus assess</w:t>
      </w:r>
      <w:r w:rsidR="0092612B" w:rsidRPr="00EE3812">
        <w:rPr>
          <w:rFonts w:ascii="Arial" w:hAnsi="Arial" w:cs="Arial"/>
          <w:sz w:val="20"/>
          <w:szCs w:val="20"/>
          <w:lang w:val="en-US"/>
        </w:rPr>
        <w:t>ment is judged</w:t>
      </w:r>
      <w:r w:rsidR="009B3763" w:rsidRPr="00EE3812">
        <w:rPr>
          <w:rFonts w:ascii="Arial" w:hAnsi="Arial" w:cs="Arial"/>
          <w:sz w:val="20"/>
          <w:szCs w:val="20"/>
          <w:lang w:val="en-US"/>
        </w:rPr>
        <w:t xml:space="preserve"> with VAS for loudness and the Tinnitus Quest</w:t>
      </w:r>
      <w:r w:rsidR="0092612B" w:rsidRPr="00EE3812">
        <w:rPr>
          <w:rFonts w:ascii="Arial" w:hAnsi="Arial" w:cs="Arial"/>
          <w:sz w:val="20"/>
          <w:szCs w:val="20"/>
          <w:lang w:val="en-US"/>
        </w:rPr>
        <w:t xml:space="preserve">ionnaire (TQ) for </w:t>
      </w:r>
      <w:r w:rsidR="009B3763" w:rsidRPr="00EE3812">
        <w:rPr>
          <w:rFonts w:ascii="Arial" w:hAnsi="Arial" w:cs="Arial"/>
          <w:sz w:val="20"/>
          <w:szCs w:val="20"/>
          <w:lang w:val="en-US"/>
        </w:rPr>
        <w:t xml:space="preserve">QOL. </w:t>
      </w:r>
    </w:p>
    <w:p w14:paraId="02450D29" w14:textId="439EE363" w:rsidR="00015987" w:rsidRPr="00EE3812" w:rsidRDefault="00015987" w:rsidP="0045721E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EE3812">
        <w:rPr>
          <w:rFonts w:ascii="Arial" w:hAnsi="Arial" w:cs="Arial"/>
          <w:b/>
          <w:sz w:val="20"/>
          <w:szCs w:val="20"/>
          <w:lang w:val="en-US"/>
        </w:rPr>
        <w:t xml:space="preserve">RESULTS: </w:t>
      </w:r>
      <w:r w:rsidR="0092612B" w:rsidRPr="00EE3812">
        <w:rPr>
          <w:rFonts w:ascii="Arial" w:hAnsi="Arial" w:cs="Arial"/>
          <w:sz w:val="20"/>
          <w:szCs w:val="20"/>
          <w:lang w:val="en-US"/>
        </w:rPr>
        <w:t>A</w:t>
      </w:r>
      <w:r w:rsidRPr="00EE3812">
        <w:rPr>
          <w:rFonts w:ascii="Arial" w:hAnsi="Arial" w:cs="Arial"/>
          <w:sz w:val="20"/>
          <w:szCs w:val="20"/>
          <w:lang w:val="en-US"/>
        </w:rPr>
        <w:t>ll</w:t>
      </w:r>
      <w:r w:rsidR="0092612B" w:rsidRPr="00EE3812">
        <w:rPr>
          <w:rFonts w:ascii="Arial" w:hAnsi="Arial" w:cs="Arial"/>
          <w:sz w:val="20"/>
          <w:szCs w:val="20"/>
          <w:lang w:val="en-US"/>
        </w:rPr>
        <w:t xml:space="preserve"> the patients (23/23) wore</w:t>
      </w:r>
      <w:r w:rsidRPr="00EE3812">
        <w:rPr>
          <w:rFonts w:ascii="Arial" w:hAnsi="Arial" w:cs="Arial"/>
          <w:sz w:val="20"/>
          <w:szCs w:val="20"/>
          <w:lang w:val="en-US"/>
        </w:rPr>
        <w:t xml:space="preserve"> their CI seven days a week, eight (3-10) years after cochlear implantation. SSQ</w:t>
      </w:r>
      <w:r w:rsidRPr="00EE3812">
        <w:rPr>
          <w:rFonts w:ascii="Arial" w:hAnsi="Arial" w:cs="Arial"/>
          <w:sz w:val="20"/>
          <w:szCs w:val="20"/>
          <w:vertAlign w:val="subscript"/>
          <w:lang w:val="en-US"/>
        </w:rPr>
        <w:t>12</w:t>
      </w:r>
      <w:r w:rsidR="0092612B" w:rsidRPr="00EE3812">
        <w:rPr>
          <w:rFonts w:ascii="Arial" w:hAnsi="Arial" w:cs="Arial"/>
          <w:sz w:val="20"/>
          <w:szCs w:val="20"/>
          <w:vertAlign w:val="subscript"/>
          <w:lang w:val="en-US"/>
        </w:rPr>
        <w:t xml:space="preserve"> </w:t>
      </w:r>
      <w:r w:rsidR="0092612B" w:rsidRPr="00EE3812">
        <w:rPr>
          <w:rFonts w:ascii="Arial" w:hAnsi="Arial" w:cs="Arial"/>
          <w:sz w:val="20"/>
          <w:szCs w:val="20"/>
          <w:lang w:val="en-US"/>
        </w:rPr>
        <w:t>improved from</w:t>
      </w:r>
      <w:r w:rsidR="0092612B" w:rsidRPr="00EE3812">
        <w:rPr>
          <w:rFonts w:ascii="Arial" w:hAnsi="Arial" w:cs="Arial"/>
          <w:sz w:val="20"/>
          <w:szCs w:val="20"/>
          <w:vertAlign w:val="subscript"/>
          <w:lang w:val="en-US"/>
        </w:rPr>
        <w:t xml:space="preserve"> </w:t>
      </w:r>
      <w:r w:rsidRPr="00EE3812">
        <w:rPr>
          <w:rFonts w:ascii="Arial" w:hAnsi="Arial" w:cs="Arial"/>
          <w:sz w:val="20"/>
          <w:szCs w:val="20"/>
          <w:lang w:val="en-US"/>
        </w:rPr>
        <w:t xml:space="preserve">pre-operative score (2.63) </w:t>
      </w:r>
      <w:r w:rsidR="0092612B" w:rsidRPr="00EE3812">
        <w:rPr>
          <w:rFonts w:ascii="Arial" w:hAnsi="Arial" w:cs="Arial"/>
          <w:sz w:val="20"/>
          <w:szCs w:val="20"/>
          <w:lang w:val="en-US"/>
        </w:rPr>
        <w:t xml:space="preserve">to </w:t>
      </w:r>
      <w:r w:rsidRPr="00EE3812">
        <w:rPr>
          <w:rFonts w:ascii="Arial" w:hAnsi="Arial" w:cs="Arial"/>
          <w:sz w:val="20"/>
          <w:szCs w:val="20"/>
          <w:lang w:val="en-US"/>
        </w:rPr>
        <w:t>L</w:t>
      </w:r>
      <w:r w:rsidR="0092612B" w:rsidRPr="00EE3812">
        <w:rPr>
          <w:rFonts w:ascii="Arial" w:hAnsi="Arial" w:cs="Arial"/>
          <w:sz w:val="20"/>
          <w:szCs w:val="20"/>
          <w:lang w:val="en-US"/>
        </w:rPr>
        <w:t>T score (5.29)</w:t>
      </w:r>
      <w:r w:rsidRPr="00EE3812">
        <w:rPr>
          <w:rFonts w:ascii="Arial" w:hAnsi="Arial" w:cs="Arial"/>
          <w:sz w:val="20"/>
          <w:szCs w:val="20"/>
          <w:lang w:val="en-US"/>
        </w:rPr>
        <w:t>. In the SSD group a significant combined head shadow effect of 2.67 dB HL was found. In the AHL group</w:t>
      </w:r>
      <w:r w:rsidR="0045721E">
        <w:rPr>
          <w:rFonts w:ascii="Arial" w:hAnsi="Arial" w:cs="Arial"/>
          <w:sz w:val="20"/>
          <w:szCs w:val="20"/>
          <w:lang w:val="en-US"/>
        </w:rPr>
        <w:t>.  T</w:t>
      </w:r>
      <w:r w:rsidRPr="00EE3812">
        <w:rPr>
          <w:rFonts w:ascii="Arial" w:hAnsi="Arial" w:cs="Arial"/>
          <w:sz w:val="20"/>
          <w:szCs w:val="20"/>
          <w:lang w:val="en-US"/>
        </w:rPr>
        <w:t>he summation effect (3.50 dB HL), the squelch effect (4.17 dB HL)</w:t>
      </w:r>
      <w:r w:rsidR="0045721E">
        <w:rPr>
          <w:rFonts w:ascii="Arial" w:hAnsi="Arial" w:cs="Arial"/>
          <w:sz w:val="20"/>
          <w:szCs w:val="20"/>
          <w:lang w:val="en-US"/>
        </w:rPr>
        <w:t>,</w:t>
      </w:r>
      <w:r w:rsidRPr="00EE3812">
        <w:rPr>
          <w:rFonts w:ascii="Arial" w:hAnsi="Arial" w:cs="Arial"/>
          <w:sz w:val="20"/>
          <w:szCs w:val="20"/>
          <w:lang w:val="en-US"/>
        </w:rPr>
        <w:t xml:space="preserve"> and the combined head shadow effect (7.67 dB HL) turned out to be significant at LT testing</w:t>
      </w:r>
      <w:r w:rsidR="00AD4F23" w:rsidRPr="00EE3812">
        <w:rPr>
          <w:rFonts w:ascii="Arial" w:hAnsi="Arial" w:cs="Arial"/>
          <w:sz w:val="20"/>
          <w:szCs w:val="20"/>
          <w:lang w:val="en-US"/>
        </w:rPr>
        <w:t xml:space="preserve"> (</w:t>
      </w:r>
      <w:r w:rsidR="00D6541D" w:rsidRPr="00EE3812">
        <w:rPr>
          <w:rFonts w:ascii="Arial" w:hAnsi="Arial" w:cs="Arial"/>
          <w:sz w:val="20"/>
          <w:szCs w:val="20"/>
          <w:lang w:val="en-US"/>
        </w:rPr>
        <w:t>Ear Hear 2016)</w:t>
      </w:r>
      <w:r w:rsidRPr="00EE3812">
        <w:rPr>
          <w:rFonts w:ascii="Arial" w:hAnsi="Arial" w:cs="Arial"/>
          <w:sz w:val="20"/>
          <w:szCs w:val="20"/>
          <w:lang w:val="en-US"/>
        </w:rPr>
        <w:t>. Significant benefit was found for sound localization in the SSD group (47°) as well as in the AHL group (45°)</w:t>
      </w:r>
      <w:r w:rsidR="00D6541D" w:rsidRPr="00EE3812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="00D6541D" w:rsidRPr="00EE3812">
        <w:rPr>
          <w:rFonts w:ascii="Arial" w:hAnsi="Arial" w:cs="Arial"/>
          <w:sz w:val="20"/>
          <w:szCs w:val="20"/>
          <w:lang w:val="en-US"/>
        </w:rPr>
        <w:t>Clin</w:t>
      </w:r>
      <w:proofErr w:type="spellEnd"/>
      <w:r w:rsidR="00D6541D" w:rsidRPr="00EE381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6541D" w:rsidRPr="00EE3812">
        <w:rPr>
          <w:rFonts w:ascii="Arial" w:hAnsi="Arial" w:cs="Arial"/>
          <w:sz w:val="20"/>
          <w:szCs w:val="20"/>
          <w:lang w:val="en-US"/>
        </w:rPr>
        <w:t>Otolaryngol</w:t>
      </w:r>
      <w:proofErr w:type="spellEnd"/>
      <w:r w:rsidR="00D6541D" w:rsidRPr="00EE3812">
        <w:rPr>
          <w:rFonts w:ascii="Arial" w:hAnsi="Arial" w:cs="Arial"/>
          <w:sz w:val="20"/>
          <w:szCs w:val="20"/>
          <w:lang w:val="en-US"/>
        </w:rPr>
        <w:t xml:space="preserve"> 2016)</w:t>
      </w:r>
      <w:r w:rsidR="009B3763" w:rsidRPr="00EE3812">
        <w:rPr>
          <w:rFonts w:ascii="Arial" w:hAnsi="Arial" w:cs="Arial"/>
          <w:sz w:val="20"/>
          <w:szCs w:val="20"/>
          <w:lang w:val="en-US"/>
        </w:rPr>
        <w:t>. The tinnitus loudness decreased</w:t>
      </w:r>
      <w:r w:rsidR="00B112A7" w:rsidRPr="00EE3812">
        <w:rPr>
          <w:rFonts w:ascii="Arial" w:hAnsi="Arial" w:cs="Arial"/>
          <w:sz w:val="20"/>
          <w:szCs w:val="20"/>
          <w:lang w:val="en-US"/>
        </w:rPr>
        <w:t xml:space="preserve"> from 8</w:t>
      </w:r>
      <w:r w:rsidR="00D6541D" w:rsidRPr="00EE3812">
        <w:rPr>
          <w:rFonts w:ascii="Arial" w:hAnsi="Arial" w:cs="Arial"/>
          <w:sz w:val="20"/>
          <w:szCs w:val="20"/>
          <w:lang w:val="en-US"/>
        </w:rPr>
        <w:t>/10</w:t>
      </w:r>
      <w:r w:rsidR="00B112A7" w:rsidRPr="00EE3812">
        <w:rPr>
          <w:rFonts w:ascii="Arial" w:hAnsi="Arial" w:cs="Arial"/>
          <w:sz w:val="20"/>
          <w:szCs w:val="20"/>
          <w:lang w:val="en-US"/>
        </w:rPr>
        <w:t xml:space="preserve"> (7-10)</w:t>
      </w:r>
      <w:r w:rsidR="00D6541D" w:rsidRPr="00EE3812">
        <w:rPr>
          <w:rFonts w:ascii="Arial" w:hAnsi="Arial" w:cs="Arial"/>
          <w:sz w:val="20"/>
          <w:szCs w:val="20"/>
          <w:lang w:val="en-US"/>
        </w:rPr>
        <w:t xml:space="preserve"> t</w:t>
      </w:r>
      <w:r w:rsidR="00B112A7" w:rsidRPr="00EE3812">
        <w:rPr>
          <w:rFonts w:ascii="Arial" w:hAnsi="Arial" w:cs="Arial"/>
          <w:sz w:val="20"/>
          <w:szCs w:val="20"/>
          <w:lang w:val="en-US"/>
        </w:rPr>
        <w:t>o 3</w:t>
      </w:r>
      <w:r w:rsidR="009B3763" w:rsidRPr="00EE3812">
        <w:rPr>
          <w:rFonts w:ascii="Arial" w:hAnsi="Arial" w:cs="Arial"/>
          <w:sz w:val="20"/>
          <w:szCs w:val="20"/>
          <w:lang w:val="en-US"/>
        </w:rPr>
        <w:t>/10</w:t>
      </w:r>
      <w:r w:rsidR="00B112A7" w:rsidRPr="00EE3812">
        <w:rPr>
          <w:rFonts w:ascii="Arial" w:hAnsi="Arial" w:cs="Arial"/>
          <w:sz w:val="20"/>
          <w:szCs w:val="20"/>
          <w:lang w:val="en-US"/>
        </w:rPr>
        <w:t xml:space="preserve"> (0-7)</w:t>
      </w:r>
      <w:r w:rsidR="0045721E">
        <w:rPr>
          <w:rFonts w:ascii="Arial" w:hAnsi="Arial" w:cs="Arial"/>
          <w:sz w:val="20"/>
          <w:szCs w:val="20"/>
          <w:lang w:val="en-US"/>
        </w:rPr>
        <w:t>,</w:t>
      </w:r>
      <w:r w:rsidR="009B3763" w:rsidRPr="00EE3812">
        <w:rPr>
          <w:rFonts w:ascii="Arial" w:hAnsi="Arial" w:cs="Arial"/>
          <w:sz w:val="20"/>
          <w:szCs w:val="20"/>
          <w:lang w:val="en-US"/>
        </w:rPr>
        <w:t xml:space="preserve"> and the TQ dropped </w:t>
      </w:r>
      <w:r w:rsidR="00B112A7" w:rsidRPr="00EE3812">
        <w:rPr>
          <w:rFonts w:ascii="Arial" w:hAnsi="Arial" w:cs="Arial"/>
          <w:sz w:val="20"/>
          <w:szCs w:val="20"/>
          <w:lang w:val="en-US"/>
        </w:rPr>
        <w:t>from 55 (27-78) to 31 (5-59)</w:t>
      </w:r>
      <w:r w:rsidR="00AD4F23" w:rsidRPr="00EE3812">
        <w:rPr>
          <w:rFonts w:ascii="Arial" w:hAnsi="Arial" w:cs="Arial"/>
          <w:sz w:val="20"/>
          <w:szCs w:val="20"/>
          <w:lang w:val="en-US"/>
        </w:rPr>
        <w:t xml:space="preserve"> (</w:t>
      </w:r>
      <w:r w:rsidR="00D6541D" w:rsidRPr="00EE3812">
        <w:rPr>
          <w:rFonts w:ascii="Arial" w:hAnsi="Arial" w:cs="Arial"/>
          <w:sz w:val="20"/>
          <w:szCs w:val="20"/>
          <w:lang w:val="en-US"/>
        </w:rPr>
        <w:t>Hear</w:t>
      </w:r>
      <w:r w:rsidR="00AD4F23" w:rsidRPr="00EE3812">
        <w:rPr>
          <w:rFonts w:ascii="Arial" w:hAnsi="Arial" w:cs="Arial"/>
          <w:sz w:val="20"/>
          <w:szCs w:val="20"/>
          <w:lang w:val="en-US"/>
        </w:rPr>
        <w:t xml:space="preserve"> Res</w:t>
      </w:r>
      <w:r w:rsidR="00D6541D" w:rsidRPr="00EE3812">
        <w:rPr>
          <w:rFonts w:ascii="Arial" w:hAnsi="Arial" w:cs="Arial"/>
          <w:sz w:val="20"/>
          <w:szCs w:val="20"/>
          <w:lang w:val="en-US"/>
        </w:rPr>
        <w:t xml:space="preserve"> 2016)</w:t>
      </w:r>
      <w:r w:rsidR="009B3763" w:rsidRPr="00EE3812">
        <w:rPr>
          <w:rFonts w:ascii="Arial" w:hAnsi="Arial" w:cs="Arial"/>
          <w:sz w:val="20"/>
          <w:szCs w:val="20"/>
          <w:lang w:val="en-US"/>
        </w:rPr>
        <w:t>.</w:t>
      </w:r>
    </w:p>
    <w:p w14:paraId="54A8F551" w14:textId="54E4437A" w:rsidR="007A0F5C" w:rsidRPr="00EE3812" w:rsidRDefault="007A0F5C" w:rsidP="0045721E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E3812">
        <w:rPr>
          <w:rFonts w:ascii="Arial" w:hAnsi="Arial" w:cs="Arial"/>
          <w:sz w:val="20"/>
          <w:szCs w:val="20"/>
          <w:lang w:val="en-US"/>
        </w:rPr>
        <w:t>Many short</w:t>
      </w:r>
      <w:r w:rsidR="0045721E">
        <w:rPr>
          <w:rFonts w:ascii="Arial" w:hAnsi="Arial" w:cs="Arial"/>
          <w:sz w:val="20"/>
          <w:szCs w:val="20"/>
          <w:lang w:val="en-US"/>
        </w:rPr>
        <w:t>-</w:t>
      </w:r>
      <w:r w:rsidRPr="00EE3812">
        <w:rPr>
          <w:rFonts w:ascii="Arial" w:hAnsi="Arial" w:cs="Arial"/>
          <w:sz w:val="20"/>
          <w:szCs w:val="20"/>
          <w:lang w:val="en-US"/>
        </w:rPr>
        <w:t>term studies are compared with the interim results.</w:t>
      </w:r>
    </w:p>
    <w:p w14:paraId="31442D2A" w14:textId="06116BCA" w:rsidR="00015987" w:rsidRPr="00EE3812" w:rsidRDefault="00015987" w:rsidP="0045721E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EE3812">
        <w:rPr>
          <w:rFonts w:ascii="Arial" w:hAnsi="Arial" w:cs="Arial"/>
          <w:b/>
          <w:sz w:val="20"/>
          <w:szCs w:val="20"/>
          <w:lang w:val="en-US"/>
        </w:rPr>
        <w:t xml:space="preserve">CONCLUSION: </w:t>
      </w:r>
      <w:r w:rsidRPr="00EE3812">
        <w:rPr>
          <w:rFonts w:ascii="Arial" w:hAnsi="Arial" w:cs="Arial"/>
          <w:sz w:val="20"/>
          <w:szCs w:val="20"/>
          <w:lang w:val="en-US"/>
        </w:rPr>
        <w:t xml:space="preserve">This is the first study to report on LT </w:t>
      </w:r>
      <w:r w:rsidR="009B3763" w:rsidRPr="00EE3812">
        <w:rPr>
          <w:rFonts w:ascii="Arial" w:hAnsi="Arial" w:cs="Arial"/>
          <w:sz w:val="20"/>
          <w:szCs w:val="20"/>
          <w:lang w:val="en-US"/>
        </w:rPr>
        <w:t xml:space="preserve">results in </w:t>
      </w:r>
      <w:proofErr w:type="gramStart"/>
      <w:r w:rsidR="009B3763" w:rsidRPr="00EE3812">
        <w:rPr>
          <w:rFonts w:ascii="Arial" w:hAnsi="Arial" w:cs="Arial"/>
          <w:sz w:val="20"/>
          <w:szCs w:val="20"/>
          <w:lang w:val="en-US"/>
        </w:rPr>
        <w:t>a large number of</w:t>
      </w:r>
      <w:proofErr w:type="gramEnd"/>
      <w:r w:rsidR="009B3763" w:rsidRPr="00EE3812">
        <w:rPr>
          <w:rFonts w:ascii="Arial" w:hAnsi="Arial" w:cs="Arial"/>
          <w:sz w:val="20"/>
          <w:szCs w:val="20"/>
          <w:lang w:val="en-US"/>
        </w:rPr>
        <w:t xml:space="preserve"> </w:t>
      </w:r>
      <w:r w:rsidR="0045721E">
        <w:rPr>
          <w:rFonts w:ascii="Arial" w:hAnsi="Arial" w:cs="Arial"/>
          <w:sz w:val="20"/>
          <w:szCs w:val="20"/>
          <w:lang w:val="en-US"/>
        </w:rPr>
        <w:t>SSD</w:t>
      </w:r>
      <w:r w:rsidR="009B3763" w:rsidRPr="00EE3812">
        <w:rPr>
          <w:rFonts w:ascii="Arial" w:hAnsi="Arial" w:cs="Arial"/>
          <w:sz w:val="20"/>
          <w:szCs w:val="20"/>
          <w:lang w:val="en-US"/>
        </w:rPr>
        <w:t xml:space="preserve"> or asymmetrical deaf</w:t>
      </w:r>
      <w:r w:rsidR="00EE3812" w:rsidRPr="00EE3812">
        <w:rPr>
          <w:rFonts w:ascii="Arial" w:hAnsi="Arial" w:cs="Arial"/>
          <w:sz w:val="20"/>
          <w:szCs w:val="20"/>
          <w:lang w:val="en-US"/>
        </w:rPr>
        <w:t xml:space="preserve"> CI users, up to 15</w:t>
      </w:r>
      <w:r w:rsidRPr="00EE3812">
        <w:rPr>
          <w:rFonts w:ascii="Arial" w:hAnsi="Arial" w:cs="Arial"/>
          <w:sz w:val="20"/>
          <w:szCs w:val="20"/>
          <w:lang w:val="en-US"/>
        </w:rPr>
        <w:t xml:space="preserve"> years. Structured interviews show that 100% of the subjects wear their CI seven days a week. The presence of binaural effects could be demonstrated with speech in noise testing, sound localiz</w:t>
      </w:r>
      <w:r w:rsidR="009B3763" w:rsidRPr="00EE3812">
        <w:rPr>
          <w:rFonts w:ascii="Arial" w:hAnsi="Arial" w:cs="Arial"/>
          <w:sz w:val="20"/>
          <w:szCs w:val="20"/>
          <w:lang w:val="en-US"/>
        </w:rPr>
        <w:t>ation</w:t>
      </w:r>
      <w:r w:rsidR="0045721E">
        <w:rPr>
          <w:rFonts w:ascii="Arial" w:hAnsi="Arial" w:cs="Arial"/>
          <w:sz w:val="20"/>
          <w:szCs w:val="20"/>
          <w:lang w:val="en-US"/>
        </w:rPr>
        <w:t>,</w:t>
      </w:r>
      <w:r w:rsidR="009B3763" w:rsidRPr="00EE3812">
        <w:rPr>
          <w:rFonts w:ascii="Arial" w:hAnsi="Arial" w:cs="Arial"/>
          <w:sz w:val="20"/>
          <w:szCs w:val="20"/>
          <w:lang w:val="en-US"/>
        </w:rPr>
        <w:t xml:space="preserve"> and subjective evaluation and a significant decrease in tinnitus was achieved.</w:t>
      </w:r>
    </w:p>
    <w:p w14:paraId="141239EB" w14:textId="77777777" w:rsidR="000E3426" w:rsidRDefault="00EE3812" w:rsidP="0045721E">
      <w:p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EE3812">
        <w:rPr>
          <w:rFonts w:ascii="Arial" w:hAnsi="Arial" w:cs="Arial"/>
          <w:b/>
          <w:sz w:val="20"/>
          <w:szCs w:val="20"/>
          <w:lang w:val="nl-BE"/>
        </w:rPr>
        <w:t>Bibliography</w:t>
      </w:r>
      <w:r w:rsidR="000E3426">
        <w:rPr>
          <w:rFonts w:ascii="Arial" w:hAnsi="Arial" w:cs="Arial"/>
          <w:sz w:val="20"/>
          <w:szCs w:val="20"/>
          <w:lang w:val="nl-BE"/>
        </w:rPr>
        <w:t>:</w:t>
      </w:r>
    </w:p>
    <w:p w14:paraId="19AD5CDA" w14:textId="77777777" w:rsidR="000E3426" w:rsidRDefault="008463E5" w:rsidP="0045721E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nl-BE"/>
        </w:rPr>
      </w:pPr>
      <w:hyperlink r:id="rId5" w:history="1">
        <w:r w:rsidR="00EE3812" w:rsidRPr="000E3426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  <w:lang w:val="en-GB"/>
          </w:rPr>
          <w:t xml:space="preserve">Evaluation of Long-Term Cochlear Implant Use in Subjects </w:t>
        </w:r>
        <w:proofErr w:type="gramStart"/>
        <w:r w:rsidR="00EE3812" w:rsidRPr="000E3426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  <w:lang w:val="en-GB"/>
          </w:rPr>
          <w:t>With</w:t>
        </w:r>
        <w:proofErr w:type="gramEnd"/>
        <w:r w:rsidR="00EE3812" w:rsidRPr="000E3426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  <w:lang w:val="en-GB"/>
          </w:rPr>
          <w:t xml:space="preserve"> Acquired Unilateral Profound Hearing Loss: Focus on Binaural Auditory Outcomes.</w:t>
        </w:r>
      </w:hyperlink>
      <w:r w:rsidR="000E3426" w:rsidRPr="000E342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EE3812" w:rsidRPr="000E3426">
        <w:rPr>
          <w:rFonts w:ascii="Arial" w:hAnsi="Arial" w:cs="Arial"/>
          <w:bCs/>
          <w:color w:val="000000" w:themeColor="text1"/>
          <w:sz w:val="20"/>
          <w:szCs w:val="20"/>
        </w:rPr>
        <w:t>Mertens</w:t>
      </w:r>
      <w:r w:rsidR="00EE3812" w:rsidRPr="000E3426">
        <w:rPr>
          <w:rFonts w:ascii="Arial" w:hAnsi="Arial" w:cs="Arial"/>
          <w:color w:val="000000" w:themeColor="text1"/>
          <w:sz w:val="20"/>
          <w:szCs w:val="20"/>
        </w:rPr>
        <w:t xml:space="preserve"> G, De Bodt M, </w:t>
      </w:r>
      <w:r w:rsidR="00EE3812" w:rsidRPr="000E3426">
        <w:rPr>
          <w:rFonts w:ascii="Arial" w:hAnsi="Arial" w:cs="Arial"/>
          <w:bCs/>
          <w:color w:val="000000" w:themeColor="text1"/>
          <w:sz w:val="20"/>
          <w:szCs w:val="20"/>
        </w:rPr>
        <w:t>Van de Heyning</w:t>
      </w:r>
      <w:r w:rsidR="00EE3812" w:rsidRPr="000E3426">
        <w:rPr>
          <w:rFonts w:ascii="Arial" w:hAnsi="Arial" w:cs="Arial"/>
          <w:color w:val="000000" w:themeColor="text1"/>
          <w:sz w:val="20"/>
          <w:szCs w:val="20"/>
        </w:rPr>
        <w:t xml:space="preserve"> P.</w:t>
      </w:r>
      <w:r w:rsidR="000E34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E3812" w:rsidRPr="000E3426">
        <w:rPr>
          <w:rStyle w:val="jrnl"/>
          <w:rFonts w:ascii="Arial" w:hAnsi="Arial" w:cs="Arial"/>
          <w:color w:val="000000" w:themeColor="text1"/>
          <w:sz w:val="20"/>
          <w:szCs w:val="20"/>
          <w:lang w:val="nl-BE"/>
        </w:rPr>
        <w:t>Ear Hear</w:t>
      </w:r>
      <w:r w:rsidR="00EE3812" w:rsidRPr="000E3426">
        <w:rPr>
          <w:rFonts w:ascii="Arial" w:hAnsi="Arial" w:cs="Arial"/>
          <w:color w:val="000000" w:themeColor="text1"/>
          <w:sz w:val="20"/>
          <w:szCs w:val="20"/>
          <w:lang w:val="nl-BE"/>
        </w:rPr>
        <w:t>. 2017 Jan/Feb;38(1):117-125.</w:t>
      </w:r>
    </w:p>
    <w:p w14:paraId="0B8F0CD8" w14:textId="416EAB9D" w:rsidR="000E3426" w:rsidRDefault="008463E5" w:rsidP="0045721E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hyperlink r:id="rId6" w:history="1">
        <w:r w:rsidR="00EE3812" w:rsidRPr="000E3426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  <w:lang w:val="en-GB"/>
          </w:rPr>
          <w:t>Prospective case-controlled sound localisation study after cochlear implantation in adults with single-sided deafness and ipsilateral tinnitus.</w:t>
        </w:r>
      </w:hyperlink>
      <w:r w:rsidR="000E3426" w:rsidRPr="000E342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EE3812" w:rsidRPr="000E3426">
        <w:rPr>
          <w:rFonts w:ascii="Arial" w:hAnsi="Arial" w:cs="Arial"/>
          <w:bCs/>
          <w:color w:val="000000" w:themeColor="text1"/>
          <w:sz w:val="20"/>
          <w:szCs w:val="20"/>
        </w:rPr>
        <w:t>Mertens</w:t>
      </w:r>
      <w:r w:rsidR="00EE3812" w:rsidRPr="000E3426">
        <w:rPr>
          <w:rFonts w:ascii="Arial" w:hAnsi="Arial" w:cs="Arial"/>
          <w:color w:val="000000" w:themeColor="text1"/>
          <w:sz w:val="20"/>
          <w:szCs w:val="20"/>
        </w:rPr>
        <w:t xml:space="preserve"> G, Desmet J, De Bodt M, </w:t>
      </w:r>
      <w:r w:rsidR="00EE3812" w:rsidRPr="000E3426">
        <w:rPr>
          <w:rFonts w:ascii="Arial" w:hAnsi="Arial" w:cs="Arial"/>
          <w:bCs/>
          <w:color w:val="000000" w:themeColor="text1"/>
          <w:sz w:val="20"/>
          <w:szCs w:val="20"/>
        </w:rPr>
        <w:t>Van de Heyning</w:t>
      </w:r>
      <w:r w:rsidR="00EE3812" w:rsidRPr="000E3426">
        <w:rPr>
          <w:rFonts w:ascii="Arial" w:hAnsi="Arial" w:cs="Arial"/>
          <w:color w:val="000000" w:themeColor="text1"/>
          <w:sz w:val="20"/>
          <w:szCs w:val="20"/>
        </w:rPr>
        <w:t xml:space="preserve"> P.</w:t>
      </w:r>
      <w:r w:rsidR="000E34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E3812" w:rsidRPr="000E3426">
        <w:rPr>
          <w:rStyle w:val="jrnl"/>
          <w:rFonts w:ascii="Arial" w:hAnsi="Arial" w:cs="Arial"/>
          <w:color w:val="000000" w:themeColor="text1"/>
          <w:sz w:val="20"/>
          <w:szCs w:val="20"/>
          <w:lang w:val="nl-BE"/>
        </w:rPr>
        <w:t>Clin Otolaryngol</w:t>
      </w:r>
      <w:r w:rsidR="00EE3812" w:rsidRPr="000E3426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. </w:t>
      </w:r>
      <w:r w:rsidR="00EE3812" w:rsidRPr="000E3426">
        <w:rPr>
          <w:rFonts w:ascii="Arial" w:hAnsi="Arial" w:cs="Arial"/>
          <w:color w:val="000000" w:themeColor="text1"/>
          <w:sz w:val="20"/>
          <w:szCs w:val="20"/>
          <w:lang w:val="en-GB"/>
        </w:rPr>
        <w:t>2016 Oct;41(5)</w:t>
      </w:r>
      <w:r w:rsidR="000E342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:511-8. </w:t>
      </w:r>
      <w:proofErr w:type="spellStart"/>
      <w:r w:rsidR="000E3426">
        <w:rPr>
          <w:rFonts w:ascii="Arial" w:hAnsi="Arial" w:cs="Arial"/>
          <w:color w:val="000000" w:themeColor="text1"/>
          <w:sz w:val="20"/>
          <w:szCs w:val="20"/>
          <w:lang w:val="en-GB"/>
        </w:rPr>
        <w:t>doi</w:t>
      </w:r>
      <w:proofErr w:type="spellEnd"/>
      <w:r w:rsidR="000E3426">
        <w:rPr>
          <w:rFonts w:ascii="Arial" w:hAnsi="Arial" w:cs="Arial"/>
          <w:color w:val="000000" w:themeColor="text1"/>
          <w:sz w:val="20"/>
          <w:szCs w:val="20"/>
          <w:lang w:val="en-GB"/>
        </w:rPr>
        <w:t>: 10.1111/coa.12555.</w:t>
      </w:r>
    </w:p>
    <w:p w14:paraId="1EBA68F8" w14:textId="797665B6" w:rsidR="000E3426" w:rsidRPr="000E3426" w:rsidRDefault="008463E5" w:rsidP="0045721E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nl-BE"/>
        </w:rPr>
      </w:pPr>
      <w:hyperlink r:id="rId7" w:history="1">
        <w:r w:rsidR="000E3426" w:rsidRPr="000E3426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  <w:lang w:val="en-GB"/>
          </w:rPr>
          <w:t>Cochlear implantation as a long-term treatment for ipsilateral incapacitating tinnitus in subjects with unilateral hearing loss up to 10 years.</w:t>
        </w:r>
      </w:hyperlink>
      <w:r w:rsidR="000E3426" w:rsidRPr="000E342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0E3426" w:rsidRPr="000E3426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Mertens</w:t>
      </w:r>
      <w:r w:rsidR="000E3426" w:rsidRPr="000E3426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G, De Bodt M, </w:t>
      </w:r>
      <w:r w:rsidR="000E3426" w:rsidRPr="000E3426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Van de Heyning</w:t>
      </w:r>
      <w:r w:rsidR="000E3426" w:rsidRPr="000E3426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P. </w:t>
      </w:r>
      <w:r w:rsidR="000E3426" w:rsidRPr="000E3426">
        <w:rPr>
          <w:rStyle w:val="jrnl"/>
          <w:rFonts w:ascii="Arial" w:hAnsi="Arial" w:cs="Arial"/>
          <w:color w:val="000000" w:themeColor="text1"/>
          <w:sz w:val="20"/>
          <w:szCs w:val="20"/>
          <w:lang w:val="nl-BE"/>
        </w:rPr>
        <w:t>Hear Res</w:t>
      </w:r>
      <w:r w:rsidR="000E3426" w:rsidRPr="000E3426">
        <w:rPr>
          <w:rFonts w:ascii="Arial" w:hAnsi="Arial" w:cs="Arial"/>
          <w:color w:val="000000" w:themeColor="text1"/>
          <w:sz w:val="20"/>
          <w:szCs w:val="20"/>
          <w:lang w:val="nl-BE"/>
        </w:rPr>
        <w:t>. 2016 Jan;331:1-6. doi: 10.1016/j.heares.2015.09.016.</w:t>
      </w:r>
    </w:p>
    <w:p w14:paraId="5C803691" w14:textId="68167712" w:rsidR="005A0DBC" w:rsidRPr="00EE3812" w:rsidRDefault="00EE3812" w:rsidP="0045721E">
      <w:pPr>
        <w:spacing w:line="360" w:lineRule="auto"/>
        <w:rPr>
          <w:sz w:val="20"/>
          <w:szCs w:val="20"/>
          <w:lang w:val="en-GB"/>
        </w:rPr>
      </w:pPr>
      <w:proofErr w:type="spellStart"/>
      <w:proofErr w:type="gramStart"/>
      <w:r w:rsidRPr="00EE3812">
        <w:rPr>
          <w:rFonts w:ascii="Arial" w:hAnsi="Arial" w:cs="Arial"/>
          <w:sz w:val="20"/>
          <w:szCs w:val="20"/>
          <w:lang w:val="en-GB"/>
        </w:rPr>
        <w:t>Disclosure:Grant</w:t>
      </w:r>
      <w:proofErr w:type="spellEnd"/>
      <w:proofErr w:type="gramEnd"/>
      <w:r w:rsidRPr="00EE3812">
        <w:rPr>
          <w:rFonts w:ascii="Arial" w:hAnsi="Arial" w:cs="Arial"/>
          <w:sz w:val="20"/>
          <w:szCs w:val="20"/>
          <w:lang w:val="en-GB"/>
        </w:rPr>
        <w:t xml:space="preserve"> of </w:t>
      </w:r>
      <w:proofErr w:type="spellStart"/>
      <w:r w:rsidRPr="00EE3812">
        <w:rPr>
          <w:rFonts w:ascii="Arial" w:hAnsi="Arial" w:cs="Arial"/>
          <w:sz w:val="20"/>
          <w:szCs w:val="20"/>
          <w:lang w:val="en-GB"/>
        </w:rPr>
        <w:t>Medel</w:t>
      </w:r>
      <w:proofErr w:type="spellEnd"/>
      <w:r w:rsidRPr="00EE3812">
        <w:rPr>
          <w:rFonts w:ascii="Arial" w:hAnsi="Arial" w:cs="Arial"/>
          <w:sz w:val="20"/>
          <w:szCs w:val="20"/>
          <w:lang w:val="en-GB"/>
        </w:rPr>
        <w:t xml:space="preserve"> to Institution (UZA)</w:t>
      </w:r>
    </w:p>
    <w:sectPr w:rsidR="005A0DBC" w:rsidRPr="00EE3812" w:rsidSect="00A5774F">
      <w:pgSz w:w="11900" w:h="16840"/>
      <w:pgMar w:top="1440" w:right="720" w:bottom="1138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aPro-Light">
    <w:altName w:val="Calibri"/>
    <w:charset w:val="00"/>
    <w:family w:val="auto"/>
    <w:pitch w:val="variable"/>
    <w:sig w:usb0="00000001" w:usb1="400068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87"/>
    <w:rsid w:val="00015987"/>
    <w:rsid w:val="000E3426"/>
    <w:rsid w:val="001657C3"/>
    <w:rsid w:val="001925DF"/>
    <w:rsid w:val="0045721E"/>
    <w:rsid w:val="005A0DBC"/>
    <w:rsid w:val="007A0F5C"/>
    <w:rsid w:val="008463E5"/>
    <w:rsid w:val="0092612B"/>
    <w:rsid w:val="009B3763"/>
    <w:rsid w:val="00A5464C"/>
    <w:rsid w:val="00A5774F"/>
    <w:rsid w:val="00A83E4A"/>
    <w:rsid w:val="00AD4F23"/>
    <w:rsid w:val="00B112A7"/>
    <w:rsid w:val="00B36FB3"/>
    <w:rsid w:val="00CA03EA"/>
    <w:rsid w:val="00D6541D"/>
    <w:rsid w:val="00E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22836"/>
  <w14:defaultImageDpi w14:val="300"/>
  <w15:docId w15:val="{DF52438E-F0B3-4EF5-86A5-CF41C6AA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A83E4A"/>
    <w:pPr>
      <w:autoSpaceDE w:val="0"/>
      <w:autoSpaceDN w:val="0"/>
      <w:adjustRightInd w:val="0"/>
      <w:spacing w:line="126" w:lineRule="atLeast"/>
    </w:pPr>
    <w:rPr>
      <w:rFonts w:ascii="SignaPro-Light" w:hAnsi="SignaPro-Light"/>
      <w:lang w:val="nl-BE"/>
    </w:rPr>
  </w:style>
  <w:style w:type="character" w:styleId="Hyperlink">
    <w:name w:val="Hyperlink"/>
    <w:basedOn w:val="DefaultParagraphFont"/>
    <w:uiPriority w:val="99"/>
    <w:unhideWhenUsed/>
    <w:rsid w:val="009B3763"/>
    <w:rPr>
      <w:color w:val="0000FF" w:themeColor="hyperlink"/>
      <w:u w:val="single"/>
    </w:rPr>
  </w:style>
  <w:style w:type="character" w:customStyle="1" w:styleId="jrnl">
    <w:name w:val="jrnl"/>
    <w:basedOn w:val="DefaultParagraphFont"/>
    <w:rsid w:val="00D6541D"/>
  </w:style>
  <w:style w:type="paragraph" w:customStyle="1" w:styleId="Title1">
    <w:name w:val="Title1"/>
    <w:basedOn w:val="Normal"/>
    <w:rsid w:val="00EE38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paragraph" w:customStyle="1" w:styleId="desc">
    <w:name w:val="desc"/>
    <w:basedOn w:val="Normal"/>
    <w:rsid w:val="00EE38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paragraph" w:customStyle="1" w:styleId="details">
    <w:name w:val="details"/>
    <w:basedOn w:val="Normal"/>
    <w:rsid w:val="00EE38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character" w:styleId="UnresolvedMention">
    <w:name w:val="Unresolved Mention"/>
    <w:basedOn w:val="DefaultParagraphFont"/>
    <w:uiPriority w:val="99"/>
    <w:semiHidden/>
    <w:unhideWhenUsed/>
    <w:rsid w:val="004572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7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9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0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1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0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0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264330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26441318" TargetMode="External"/><Relationship Id="rId5" Type="http://schemas.openxmlformats.org/officeDocument/2006/relationships/hyperlink" Target="https://www.ncbi.nlm.nih.gov/pubmed/27513880" TargetMode="External"/><Relationship Id="rId4" Type="http://schemas.openxmlformats.org/officeDocument/2006/relationships/hyperlink" Target="mailto:paul.vandeheyning@Uantwerpen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Uza</Company>
  <LinksUpToDate>false</LinksUpToDate>
  <CharactersWithSpaces>3423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 Mertens</dc:creator>
  <cp:keywords/>
  <dc:description/>
  <cp:lastModifiedBy>Mary Dornhoffer</cp:lastModifiedBy>
  <cp:revision>2</cp:revision>
  <dcterms:created xsi:type="dcterms:W3CDTF">2018-01-30T17:26:00Z</dcterms:created>
  <dcterms:modified xsi:type="dcterms:W3CDTF">2018-01-30T17:26:00Z</dcterms:modified>
  <cp:category/>
</cp:coreProperties>
</file>