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4D" w:rsidRDefault="00B3544D" w:rsidP="00B3544D">
      <w:pPr>
        <w:spacing w:line="240" w:lineRule="atLeast"/>
        <w:jc w:val="center"/>
        <w:rPr>
          <w:rFonts w:eastAsia="Times New Roman"/>
          <w:sz w:val="27"/>
          <w:szCs w:val="27"/>
        </w:rPr>
      </w:pPr>
      <w:r>
        <w:rPr>
          <w:rStyle w:val="normalchar"/>
          <w:rFonts w:ascii="Calibri" w:eastAsia="Times New Roman" w:hAnsi="Calibri" w:cs="Calibri"/>
          <w:b/>
          <w:bCs/>
        </w:rPr>
        <w:t xml:space="preserve">Newly-Diagnosed </w:t>
      </w:r>
      <w:proofErr w:type="gramStart"/>
      <w:r>
        <w:rPr>
          <w:rStyle w:val="normalchar"/>
          <w:rFonts w:ascii="Calibri" w:eastAsia="Times New Roman" w:hAnsi="Calibri" w:cs="Calibri"/>
          <w:b/>
          <w:bCs/>
        </w:rPr>
        <w:t>Meniere’s Disease</w:t>
      </w:r>
      <w:proofErr w:type="gramEnd"/>
      <w:r>
        <w:rPr>
          <w:rStyle w:val="normalchar"/>
          <w:rFonts w:ascii="Calibri" w:eastAsia="Times New Roman" w:hAnsi="Calibri" w:cs="Calibri"/>
          <w:b/>
          <w:bCs/>
        </w:rPr>
        <w:t>: Outlook for Vertigo Control and Hearing with Initiation of Non-Invasive Treatment Including an Accounting of Vestibular Migraine</w:t>
      </w:r>
    </w:p>
    <w:p w:rsidR="00B3544D" w:rsidRDefault="00B3544D" w:rsidP="00B3544D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proofErr w:type="spellStart"/>
      <w:r w:rsidRPr="00017FB0">
        <w:rPr>
          <w:rFonts w:ascii="Calibri" w:eastAsia="Times New Roman" w:hAnsi="Calibri" w:cs="Calibri"/>
          <w:bCs/>
        </w:rPr>
        <w:t>Firas</w:t>
      </w:r>
      <w:proofErr w:type="spellEnd"/>
      <w:r w:rsidRPr="00017FB0">
        <w:rPr>
          <w:rFonts w:ascii="Calibri" w:eastAsia="Times New Roman" w:hAnsi="Calibri" w:cs="Calibri"/>
          <w:bCs/>
        </w:rPr>
        <w:t xml:space="preserve"> </w:t>
      </w:r>
      <w:proofErr w:type="spellStart"/>
      <w:r w:rsidRPr="00017FB0">
        <w:rPr>
          <w:rFonts w:ascii="Calibri" w:eastAsia="Times New Roman" w:hAnsi="Calibri" w:cs="Calibri"/>
          <w:bCs/>
        </w:rPr>
        <w:t>Sbeih</w:t>
      </w:r>
      <w:proofErr w:type="spellEnd"/>
      <w:r w:rsidRPr="00017FB0">
        <w:rPr>
          <w:rFonts w:ascii="Calibri" w:eastAsia="Times New Roman" w:hAnsi="Calibri" w:cs="Calibri"/>
          <w:bCs/>
        </w:rPr>
        <w:t xml:space="preserve">, Florian </w:t>
      </w:r>
      <w:proofErr w:type="spellStart"/>
      <w:r w:rsidRPr="00017FB0">
        <w:rPr>
          <w:rFonts w:ascii="Calibri" w:eastAsia="Times New Roman" w:hAnsi="Calibri" w:cs="Calibri"/>
          <w:bCs/>
        </w:rPr>
        <w:t>Christov</w:t>
      </w:r>
      <w:proofErr w:type="spellEnd"/>
      <w:r w:rsidRPr="00017FB0">
        <w:rPr>
          <w:rFonts w:ascii="Calibri" w:eastAsia="Times New Roman" w:hAnsi="Calibri" w:cs="Calibri"/>
          <w:bCs/>
        </w:rPr>
        <w:t>, Michael Gluth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Fonts w:ascii="Calibri" w:eastAsia="Times New Roman" w:hAnsi="Calibri" w:cs="Calibri"/>
          <w:bCs/>
        </w:rPr>
        <w:t>University of Chicago  </w:t>
      </w:r>
    </w:p>
    <w:p w:rsidR="00B3544D" w:rsidRDefault="00B3544D" w:rsidP="00B3544D">
      <w:pPr>
        <w:spacing w:line="240" w:lineRule="atLeast"/>
        <w:rPr>
          <w:rFonts w:eastAsia="Times New Roman"/>
          <w:sz w:val="27"/>
          <w:szCs w:val="27"/>
        </w:rPr>
      </w:pP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  <w:b/>
          <w:bCs/>
        </w:rPr>
        <w:t>Objective: </w:t>
      </w:r>
      <w:r w:rsidRPr="00017FB0">
        <w:rPr>
          <w:rStyle w:val="normalchar"/>
          <w:rFonts w:ascii="Calibri" w:eastAsia="Times New Roman" w:hAnsi="Calibri" w:cs="Calibri"/>
        </w:rPr>
        <w:t>To determine the outlook for Meniere’s disease control with non-invasive treatment in newly diagnosed patients </w:t>
      </w:r>
      <w:r w:rsidRPr="00017FB0">
        <w:rPr>
          <w:rStyle w:val="apple002dconverted002dspacechar"/>
          <w:rFonts w:ascii="Calibri" w:eastAsia="Times New Roman" w:hAnsi="Calibri" w:cs="Calibri"/>
        </w:rPr>
        <w:t>while also accounting for vestibular migraine</w:t>
      </w:r>
      <w:r w:rsidR="00017FB0">
        <w:rPr>
          <w:rStyle w:val="apple002dconverted002dspacechar"/>
          <w:rFonts w:ascii="Calibri" w:eastAsia="Times New Roman" w:hAnsi="Calibri" w:cs="Calibri"/>
        </w:rPr>
        <w:t>.</w:t>
      </w:r>
      <w:r w:rsidRPr="00017FB0">
        <w:rPr>
          <w:rStyle w:val="normalchar"/>
          <w:rFonts w:ascii="Calibri" w:eastAsia="Times New Roman" w:hAnsi="Calibri" w:cs="Calibri"/>
        </w:rPr>
        <w:t> 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  <w:b/>
          <w:bCs/>
        </w:rPr>
        <w:t>Study Design: </w:t>
      </w:r>
      <w:r w:rsidRPr="00017FB0">
        <w:rPr>
          <w:rStyle w:val="apple002dconverted002dspacechar"/>
          <w:rFonts w:ascii="Calibri" w:eastAsia="Times New Roman" w:hAnsi="Calibri" w:cs="Calibri"/>
          <w:b/>
          <w:bCs/>
        </w:rPr>
        <w:t> </w:t>
      </w:r>
      <w:r w:rsidRPr="00017FB0">
        <w:rPr>
          <w:rStyle w:val="apple002dconverted002dspacechar"/>
          <w:rFonts w:ascii="Calibri" w:eastAsia="Times New Roman" w:hAnsi="Calibri" w:cs="Calibri"/>
        </w:rPr>
        <w:t>Retrospective chart review of consecutive patients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</w:rPr>
        <w:t>  </w:t>
      </w:r>
      <w:r w:rsidRPr="00017FB0">
        <w:rPr>
          <w:rFonts w:ascii="Calibri" w:eastAsia="Times New Roman" w:hAnsi="Calibri" w:cs="Calibri"/>
        </w:rPr>
        <w:br/>
      </w:r>
      <w:r w:rsidRPr="00017FB0">
        <w:rPr>
          <w:rStyle w:val="normalchar"/>
          <w:rFonts w:ascii="Calibri" w:eastAsia="Times New Roman" w:hAnsi="Calibri" w:cs="Calibri"/>
          <w:b/>
          <w:bCs/>
        </w:rPr>
        <w:t>Setting: </w:t>
      </w:r>
      <w:r w:rsidRPr="00017FB0">
        <w:rPr>
          <w:rStyle w:val="normalchar"/>
          <w:rFonts w:ascii="Calibri" w:eastAsia="Times New Roman" w:hAnsi="Calibri" w:cs="Calibri"/>
        </w:rPr>
        <w:t>Tertiary referral center 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  <w:b/>
          <w:bCs/>
        </w:rPr>
        <w:t>Patients: </w:t>
      </w:r>
      <w:r w:rsidRPr="00017FB0">
        <w:rPr>
          <w:rStyle w:val="normalchar"/>
          <w:rFonts w:ascii="Calibri" w:eastAsia="Times New Roman" w:hAnsi="Calibri" w:cs="Calibri"/>
        </w:rPr>
        <w:t>Adults with a new diagnosis of Meniere’s disease according to AAO-HNS criteria between 2013</w:t>
      </w:r>
      <w:r w:rsidR="00017FB0">
        <w:rPr>
          <w:rStyle w:val="normalchar"/>
          <w:rFonts w:ascii="Calibri" w:eastAsia="Times New Roman" w:hAnsi="Calibri" w:cs="Calibri"/>
        </w:rPr>
        <w:t>–</w:t>
      </w:r>
      <w:r w:rsidRPr="00017FB0">
        <w:rPr>
          <w:rStyle w:val="normalchar"/>
          <w:rFonts w:ascii="Calibri" w:eastAsia="Times New Roman" w:hAnsi="Calibri" w:cs="Calibri"/>
        </w:rPr>
        <w:t>2017 that had never received prior diagnosis or treatment</w:t>
      </w:r>
      <w:r w:rsidRPr="00017FB0">
        <w:rPr>
          <w:rStyle w:val="apple002dconverted002dspacechar"/>
          <w:rFonts w:ascii="Calibri" w:eastAsia="Times New Roman" w:hAnsi="Calibri" w:cs="Calibri"/>
        </w:rPr>
        <w:t>.  All patients included in the study had at least 1 year of follow</w:t>
      </w:r>
      <w:r w:rsidR="00017FB0">
        <w:rPr>
          <w:rStyle w:val="apple002dconverted002dspacechar"/>
          <w:rFonts w:ascii="Calibri" w:eastAsia="Times New Roman" w:hAnsi="Calibri" w:cs="Calibri"/>
        </w:rPr>
        <w:t>-</w:t>
      </w:r>
      <w:r w:rsidRPr="00017FB0">
        <w:rPr>
          <w:rStyle w:val="apple002dconverted002dspacechar"/>
          <w:rFonts w:ascii="Calibri" w:eastAsia="Times New Roman" w:hAnsi="Calibri" w:cs="Calibri"/>
        </w:rPr>
        <w:t>up.</w:t>
      </w:r>
      <w:r w:rsidRPr="00017FB0">
        <w:rPr>
          <w:rStyle w:val="normalchar"/>
          <w:rFonts w:ascii="Calibri" w:eastAsia="Times New Roman" w:hAnsi="Calibri" w:cs="Calibri"/>
        </w:rPr>
        <w:t> 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  <w:b/>
          <w:bCs/>
        </w:rPr>
        <w:t>Intervention(s): </w:t>
      </w:r>
      <w:r w:rsidRPr="00017FB0">
        <w:rPr>
          <w:rStyle w:val="apple002dconverted002dspacechar"/>
          <w:rFonts w:ascii="Calibri" w:eastAsia="Times New Roman" w:hAnsi="Calibri" w:cs="Calibri"/>
        </w:rPr>
        <w:t xml:space="preserve"> Non-invasive treatment included a written dietary plan for low sodium (goal of 1500 mg/day) and water therapy (35 mg/kg/day).  In addition, patients were offered sole or concurrent treatment with a diuretic and/or </w:t>
      </w:r>
      <w:proofErr w:type="spellStart"/>
      <w:r w:rsidRPr="00017FB0">
        <w:rPr>
          <w:rStyle w:val="apple002dconverted002dspacechar"/>
          <w:rFonts w:ascii="Calibri" w:eastAsia="Times New Roman" w:hAnsi="Calibri" w:cs="Calibri"/>
        </w:rPr>
        <w:t>betahistine</w:t>
      </w:r>
      <w:proofErr w:type="spellEnd"/>
      <w:r w:rsidRPr="00017FB0">
        <w:rPr>
          <w:rStyle w:val="apple002dconverted002dspacechar"/>
          <w:rFonts w:ascii="Calibri" w:eastAsia="Times New Roman" w:hAnsi="Calibri" w:cs="Calibri"/>
        </w:rPr>
        <w:t xml:space="preserve"> before invasive treatments were applied.  All patients were also screened for vestibular migraine according to IHS guidelines and, if present, were all started on a migraine diet plan, magnesium supplementation (400 mg/day), and offered a migraine-preventative medication. 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</w:rPr>
        <w:t> </w:t>
      </w:r>
      <w:r w:rsidRPr="00017FB0">
        <w:rPr>
          <w:rFonts w:ascii="Calibri" w:eastAsia="Times New Roman" w:hAnsi="Calibri" w:cs="Calibri"/>
        </w:rPr>
        <w:br/>
      </w:r>
      <w:r w:rsidRPr="00017FB0">
        <w:rPr>
          <w:rStyle w:val="normalchar"/>
          <w:rFonts w:ascii="Calibri" w:eastAsia="Times New Roman" w:hAnsi="Calibri" w:cs="Calibri"/>
          <w:b/>
          <w:bCs/>
        </w:rPr>
        <w:t>Main Outcome Measure(s): </w:t>
      </w:r>
      <w:r w:rsidRPr="00017FB0">
        <w:rPr>
          <w:rStyle w:val="normalchar"/>
          <w:rFonts w:ascii="Calibri" w:eastAsia="Times New Roman" w:hAnsi="Calibri" w:cs="Calibri"/>
        </w:rPr>
        <w:t> Control of vertigo at most recent follow-up with diet and medications, but without the need for invasive treatment modalities.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</w:rPr>
        <w:t> </w:t>
      </w:r>
      <w:r w:rsidRPr="00017FB0">
        <w:rPr>
          <w:rFonts w:ascii="Calibri" w:eastAsia="Times New Roman" w:hAnsi="Calibri" w:cs="Calibri"/>
        </w:rPr>
        <w:br/>
      </w:r>
      <w:r w:rsidRPr="00017FB0">
        <w:rPr>
          <w:rStyle w:val="normalchar"/>
          <w:rFonts w:ascii="Calibri" w:eastAsia="Times New Roman" w:hAnsi="Calibri" w:cs="Calibri"/>
          <w:b/>
          <w:bCs/>
        </w:rPr>
        <w:t>Results: </w:t>
      </w:r>
      <w:r w:rsidRPr="00017FB0">
        <w:rPr>
          <w:rStyle w:val="normalchar"/>
          <w:rFonts w:ascii="Calibri" w:eastAsia="Times New Roman" w:hAnsi="Calibri" w:cs="Calibri"/>
        </w:rPr>
        <w:t> 51 patients were newly diagnosed with Meniere’s disease and 44 had the minimum 12-month of follow up (average follow</w:t>
      </w:r>
      <w:r w:rsidR="00017FB0">
        <w:rPr>
          <w:rStyle w:val="normalchar"/>
          <w:rFonts w:ascii="Calibri" w:eastAsia="Times New Roman" w:hAnsi="Calibri" w:cs="Calibri"/>
        </w:rPr>
        <w:t>-</w:t>
      </w:r>
      <w:r w:rsidRPr="00017FB0">
        <w:rPr>
          <w:rStyle w:val="normalchar"/>
          <w:rFonts w:ascii="Calibri" w:eastAsia="Times New Roman" w:hAnsi="Calibri" w:cs="Calibri"/>
        </w:rPr>
        <w:t>up time per patient was 24.3 months).  75% of patients had vertigo well controlled without the need for any invasive treatments during the course of follow</w:t>
      </w:r>
      <w:r w:rsidR="00017FB0">
        <w:rPr>
          <w:rStyle w:val="normalchar"/>
          <w:rFonts w:ascii="Calibri" w:eastAsia="Times New Roman" w:hAnsi="Calibri" w:cs="Calibri"/>
        </w:rPr>
        <w:t>-</w:t>
      </w:r>
      <w:r w:rsidRPr="00017FB0">
        <w:rPr>
          <w:rStyle w:val="normalchar"/>
          <w:rFonts w:ascii="Calibri" w:eastAsia="Times New Roman" w:hAnsi="Calibri" w:cs="Calibri"/>
        </w:rPr>
        <w:t>up.  27 ears were stage 1 hearing after treatment compared to 19 before treatment.  </w:t>
      </w:r>
      <w:r w:rsidRPr="00017FB0">
        <w:rPr>
          <w:rFonts w:ascii="Calibri" w:eastAsia="Times New Roman" w:hAnsi="Calibri" w:cs="Calibri"/>
        </w:rPr>
        <w:t>Bilateral disease, high body mass index, and vestibular migraine were not predictive of non-invasive treatment failure, but worse pre-treatment hearing thresholds at 250 Hz and lower pure tone averages were predictive of treatment failure.</w:t>
      </w:r>
    </w:p>
    <w:p w:rsidR="00B3544D" w:rsidRPr="00017FB0" w:rsidRDefault="00B3544D" w:rsidP="00B3544D">
      <w:pPr>
        <w:pStyle w:val="Normal1"/>
        <w:spacing w:before="0" w:beforeAutospacing="0" w:after="0" w:afterAutospacing="0" w:line="240" w:lineRule="atLeast"/>
      </w:pPr>
      <w:r w:rsidRPr="00017FB0">
        <w:t> </w:t>
      </w:r>
    </w:p>
    <w:p w:rsidR="00B3544D" w:rsidRPr="00017FB0" w:rsidRDefault="00B3544D" w:rsidP="00B3544D">
      <w:pPr>
        <w:spacing w:line="240" w:lineRule="atLeast"/>
        <w:rPr>
          <w:rFonts w:eastAsia="Times New Roman"/>
        </w:rPr>
      </w:pPr>
      <w:r w:rsidRPr="00017FB0">
        <w:rPr>
          <w:rStyle w:val="normalchar"/>
          <w:rFonts w:ascii="Calibri" w:eastAsia="Times New Roman" w:hAnsi="Calibri" w:cs="Calibri"/>
          <w:b/>
          <w:bCs/>
        </w:rPr>
        <w:t>Conclusions: </w:t>
      </w:r>
      <w:r w:rsidRPr="00017FB0">
        <w:rPr>
          <w:rStyle w:val="normalchar"/>
          <w:rFonts w:ascii="Calibri" w:eastAsia="Times New Roman" w:hAnsi="Calibri" w:cs="Calibri"/>
        </w:rPr>
        <w:t> Vertigo control for patients newly diagnosed with Meniere’s disease was highly probable during the first year with a methodical approach to non-invasive treatment, including an accounting for vestibular migraine.  The need to apply invasive treatment modalities</w:t>
      </w:r>
      <w:r w:rsidR="00017FB0">
        <w:rPr>
          <w:rStyle w:val="normalchar"/>
          <w:rFonts w:ascii="Calibri" w:eastAsia="Times New Roman" w:hAnsi="Calibri" w:cs="Calibri"/>
        </w:rPr>
        <w:t>,</w:t>
      </w:r>
      <w:r w:rsidRPr="00017FB0">
        <w:rPr>
          <w:rStyle w:val="normalchar"/>
          <w:rFonts w:ascii="Calibri" w:eastAsia="Times New Roman" w:hAnsi="Calibri" w:cs="Calibri"/>
        </w:rPr>
        <w:t xml:space="preserve"> such as </w:t>
      </w:r>
      <w:proofErr w:type="spellStart"/>
      <w:r w:rsidRPr="00017FB0">
        <w:rPr>
          <w:rStyle w:val="normalchar"/>
          <w:rFonts w:ascii="Calibri" w:eastAsia="Times New Roman" w:hAnsi="Calibri" w:cs="Calibri"/>
        </w:rPr>
        <w:t>intratympanic</w:t>
      </w:r>
      <w:proofErr w:type="spellEnd"/>
      <w:r w:rsidRPr="00017FB0">
        <w:rPr>
          <w:rStyle w:val="normalchar"/>
          <w:rFonts w:ascii="Calibri" w:eastAsia="Times New Roman" w:hAnsi="Calibri" w:cs="Calibri"/>
        </w:rPr>
        <w:t xml:space="preserve"> medication perfusion or surgery for vertigo control</w:t>
      </w:r>
      <w:r w:rsidR="00017FB0">
        <w:rPr>
          <w:rStyle w:val="normalchar"/>
          <w:rFonts w:ascii="Calibri" w:eastAsia="Times New Roman" w:hAnsi="Calibri" w:cs="Calibri"/>
        </w:rPr>
        <w:t>,</w:t>
      </w:r>
      <w:bookmarkStart w:id="0" w:name="_GoBack"/>
      <w:bookmarkEnd w:id="0"/>
      <w:r w:rsidRPr="00017FB0">
        <w:rPr>
          <w:rStyle w:val="normalchar"/>
          <w:rFonts w:ascii="Calibri" w:eastAsia="Times New Roman" w:hAnsi="Calibri" w:cs="Calibri"/>
        </w:rPr>
        <w:t xml:space="preserve"> was uncommon.  Hearing status at the time of diagnosis was the only predictor of treatment failure detected. </w:t>
      </w:r>
    </w:p>
    <w:p w:rsidR="00547C7D" w:rsidRPr="00017FB0" w:rsidRDefault="00547C7D"/>
    <w:sectPr w:rsidR="00547C7D" w:rsidRPr="00017FB0" w:rsidSect="00017FB0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4D"/>
    <w:rsid w:val="00017FB0"/>
    <w:rsid w:val="00547C7D"/>
    <w:rsid w:val="00B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C2568-71EF-49FF-A9D0-4BFD858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3544D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B3544D"/>
  </w:style>
  <w:style w:type="character" w:customStyle="1" w:styleId="apple002dconverted002dspacechar">
    <w:name w:val="apple_002dconverted_002dspace__char"/>
    <w:basedOn w:val="DefaultParagraphFont"/>
    <w:rsid w:val="00B3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2017-10-11T12:20:00Z</dcterms:created>
  <dcterms:modified xsi:type="dcterms:W3CDTF">2018-01-16T19:50:00Z</dcterms:modified>
</cp:coreProperties>
</file>