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56B" w:rsidRPr="000D0452" w:rsidRDefault="00F2656B" w:rsidP="00F2656B">
      <w:pPr>
        <w:pStyle w:val="Default"/>
        <w:rPr>
          <w:b/>
          <w:bCs/>
          <w:sz w:val="32"/>
          <w:szCs w:val="20"/>
        </w:rPr>
      </w:pPr>
      <w:bookmarkStart w:id="0" w:name="_GoBack"/>
      <w:r w:rsidRPr="000D0452">
        <w:rPr>
          <w:b/>
          <w:bCs/>
          <w:sz w:val="32"/>
          <w:szCs w:val="20"/>
        </w:rPr>
        <w:t xml:space="preserve">Intratympanic latanoprost for Menière’s disease - </w:t>
      </w:r>
      <w:r w:rsidR="00367BB9" w:rsidRPr="000D0452">
        <w:rPr>
          <w:b/>
          <w:bCs/>
          <w:sz w:val="32"/>
          <w:szCs w:val="20"/>
        </w:rPr>
        <w:t>A</w:t>
      </w:r>
      <w:r w:rsidRPr="000D0452">
        <w:rPr>
          <w:b/>
          <w:bCs/>
          <w:sz w:val="32"/>
          <w:szCs w:val="20"/>
        </w:rPr>
        <w:t xml:space="preserve"> prospective, randomized, double-blind, placebo-</w:t>
      </w:r>
      <w:r w:rsidRPr="000D0452">
        <w:rPr>
          <w:b/>
          <w:bCs/>
          <w:sz w:val="36"/>
          <w:szCs w:val="20"/>
        </w:rPr>
        <w:t>controlled</w:t>
      </w:r>
      <w:r w:rsidRPr="000D0452">
        <w:rPr>
          <w:b/>
          <w:bCs/>
          <w:sz w:val="32"/>
          <w:szCs w:val="20"/>
        </w:rPr>
        <w:t>, parallel group study</w:t>
      </w:r>
    </w:p>
    <w:bookmarkEnd w:id="0"/>
    <w:p w:rsidR="0091672E" w:rsidRDefault="0091672E" w:rsidP="0091672E">
      <w:pPr>
        <w:rPr>
          <w:rFonts w:ascii="Arial" w:hAnsi="Arial" w:cs="Arial"/>
          <w:b/>
          <w:u w:val="single"/>
        </w:rPr>
      </w:pPr>
    </w:p>
    <w:p w:rsidR="0091672E" w:rsidRPr="0091672E" w:rsidRDefault="0091672E" w:rsidP="0091672E">
      <w:r w:rsidRPr="00E66264">
        <w:rPr>
          <w:b/>
          <w:i/>
        </w:rPr>
        <w:t>Mikael KARLBERG</w:t>
      </w:r>
      <w:r w:rsidRPr="0091672E">
        <w:t>, Per-Inge CARLSSON</w:t>
      </w:r>
      <w:r w:rsidRPr="0091672E">
        <w:rPr>
          <w:vertAlign w:val="superscript"/>
        </w:rPr>
        <w:t>1</w:t>
      </w:r>
      <w:r w:rsidRPr="0091672E">
        <w:t>, Ylva DAHLIN-REDFORS</w:t>
      </w:r>
      <w:r w:rsidRPr="0091672E">
        <w:rPr>
          <w:vertAlign w:val="superscript"/>
        </w:rPr>
        <w:t>2</w:t>
      </w:r>
      <w:r w:rsidRPr="0091672E">
        <w:t>, Cecilia ENGM</w:t>
      </w:r>
      <w:r w:rsidR="000601E2">
        <w:t>É</w:t>
      </w:r>
      <w:r w:rsidRPr="0091672E">
        <w:t>R BERGLIN</w:t>
      </w:r>
      <w:r w:rsidRPr="0091672E">
        <w:rPr>
          <w:vertAlign w:val="superscript"/>
        </w:rPr>
        <w:t>3</w:t>
      </w:r>
      <w:r w:rsidRPr="0091672E">
        <w:t>, Elsa ERIXON</w:t>
      </w:r>
      <w:r w:rsidRPr="0091672E">
        <w:rPr>
          <w:vertAlign w:val="superscript"/>
        </w:rPr>
        <w:t>4</w:t>
      </w:r>
      <w:r w:rsidRPr="0091672E">
        <w:t>, Svante HUGOSSON</w:t>
      </w:r>
      <w:r w:rsidRPr="0091672E">
        <w:rPr>
          <w:vertAlign w:val="superscript"/>
        </w:rPr>
        <w:t>5</w:t>
      </w:r>
      <w:r w:rsidRPr="0091672E">
        <w:t>, Johan KNU</w:t>
      </w:r>
      <w:r w:rsidR="00C8135A">
        <w:t>T</w:t>
      </w:r>
      <w:r w:rsidRPr="0091672E">
        <w:t>SSON</w:t>
      </w:r>
      <w:r w:rsidRPr="0091672E">
        <w:rPr>
          <w:sz w:val="22"/>
          <w:vertAlign w:val="superscript"/>
        </w:rPr>
        <w:t>6</w:t>
      </w:r>
      <w:r w:rsidRPr="0091672E">
        <w:t>, Helge LYCKBERG</w:t>
      </w:r>
      <w:r w:rsidRPr="0091672E">
        <w:rPr>
          <w:vertAlign w:val="superscript"/>
        </w:rPr>
        <w:t>1</w:t>
      </w:r>
      <w:r w:rsidRPr="0091672E">
        <w:t>, Claes MÖLLER</w:t>
      </w:r>
      <w:r w:rsidRPr="0091672E">
        <w:rPr>
          <w:vertAlign w:val="superscript"/>
        </w:rPr>
        <w:t>5</w:t>
      </w:r>
      <w:r w:rsidRPr="0091672E">
        <w:t>, Serge PADOAN</w:t>
      </w:r>
      <w:r w:rsidRPr="0091672E">
        <w:rPr>
          <w:vertAlign w:val="superscript"/>
        </w:rPr>
        <w:t>7</w:t>
      </w:r>
      <w:r w:rsidRPr="0091672E">
        <w:t>, Kristoffer PIEKAREK</w:t>
      </w:r>
      <w:r w:rsidRPr="0091672E">
        <w:rPr>
          <w:vertAlign w:val="superscript"/>
        </w:rPr>
        <w:t>8</w:t>
      </w:r>
      <w:r w:rsidRPr="0091672E">
        <w:t>, Michael SCHULIN</w:t>
      </w:r>
      <w:r w:rsidRPr="0091672E">
        <w:rPr>
          <w:vertAlign w:val="superscript"/>
        </w:rPr>
        <w:t>9</w:t>
      </w:r>
      <w:r w:rsidRPr="0091672E">
        <w:t>, Anette SÖRLIN</w:t>
      </w:r>
      <w:r w:rsidRPr="0091672E">
        <w:rPr>
          <w:vertAlign w:val="superscript"/>
        </w:rPr>
        <w:t>10</w:t>
      </w:r>
      <w:r w:rsidRPr="0091672E">
        <w:t>, Tatjana TOMANOVIC</w:t>
      </w:r>
      <w:r w:rsidRPr="0091672E">
        <w:rPr>
          <w:vertAlign w:val="superscript"/>
        </w:rPr>
        <w:t>3</w:t>
      </w:r>
      <w:r w:rsidRPr="0091672E">
        <w:t>, Lena WIKLUND</w:t>
      </w:r>
      <w:r w:rsidRPr="0091672E">
        <w:rPr>
          <w:vertAlign w:val="superscript"/>
        </w:rPr>
        <w:t>11</w:t>
      </w:r>
      <w:r w:rsidRPr="0091672E">
        <w:t>, Fredrik HENELL</w:t>
      </w:r>
      <w:r w:rsidRPr="0091672E">
        <w:rPr>
          <w:vertAlign w:val="superscript"/>
        </w:rPr>
        <w:t>12</w:t>
      </w:r>
      <w:r w:rsidRPr="0091672E">
        <w:t>.</w:t>
      </w:r>
    </w:p>
    <w:p w:rsidR="0091672E" w:rsidRPr="0091672E" w:rsidRDefault="0091672E" w:rsidP="0091672E"/>
    <w:p w:rsidR="0091672E" w:rsidRPr="0091672E" w:rsidRDefault="0091672E" w:rsidP="0091672E">
      <w:r w:rsidRPr="0091672E">
        <w:t>Departments of Otorhinolaryngology, Lund University Hospital, Karlstad Central Hospital</w:t>
      </w:r>
      <w:r w:rsidRPr="0091672E">
        <w:rPr>
          <w:vertAlign w:val="superscript"/>
        </w:rPr>
        <w:t>1</w:t>
      </w:r>
      <w:r w:rsidRPr="0091672E">
        <w:t>, Gothenburg Sahlgrenska University Hospital</w:t>
      </w:r>
      <w:r w:rsidRPr="0091672E">
        <w:rPr>
          <w:vertAlign w:val="superscript"/>
        </w:rPr>
        <w:t>2</w:t>
      </w:r>
      <w:r w:rsidRPr="0091672E">
        <w:t>, Solna Karolinska University Hospital</w:t>
      </w:r>
      <w:r w:rsidRPr="0091672E">
        <w:rPr>
          <w:vertAlign w:val="superscript"/>
        </w:rPr>
        <w:t>3</w:t>
      </w:r>
      <w:r w:rsidRPr="0091672E">
        <w:t>, Uppsala University Hospital</w:t>
      </w:r>
      <w:r w:rsidRPr="0091672E">
        <w:rPr>
          <w:vertAlign w:val="superscript"/>
        </w:rPr>
        <w:t>4</w:t>
      </w:r>
      <w:r w:rsidRPr="0091672E">
        <w:t>, Örebro University Hospital</w:t>
      </w:r>
      <w:r w:rsidRPr="0091672E">
        <w:rPr>
          <w:vertAlign w:val="superscript"/>
        </w:rPr>
        <w:t>5</w:t>
      </w:r>
      <w:r w:rsidRPr="0091672E">
        <w:t>, Västerås County Hospital</w:t>
      </w:r>
      <w:r w:rsidRPr="0091672E">
        <w:rPr>
          <w:vertAlign w:val="superscript"/>
        </w:rPr>
        <w:t>6</w:t>
      </w:r>
      <w:r w:rsidRPr="0091672E">
        <w:t>, Kristianstad County Hospital</w:t>
      </w:r>
      <w:r w:rsidRPr="0091672E">
        <w:rPr>
          <w:vertAlign w:val="superscript"/>
        </w:rPr>
        <w:t>7</w:t>
      </w:r>
      <w:r w:rsidRPr="0091672E">
        <w:t>, Karlskrona County Hospital</w:t>
      </w:r>
      <w:r w:rsidRPr="0091672E">
        <w:rPr>
          <w:vertAlign w:val="superscript"/>
        </w:rPr>
        <w:t>8</w:t>
      </w:r>
      <w:r w:rsidRPr="0091672E">
        <w:t>, Linköping University Hospital</w:t>
      </w:r>
      <w:r w:rsidRPr="0091672E">
        <w:rPr>
          <w:vertAlign w:val="superscript"/>
        </w:rPr>
        <w:t>9</w:t>
      </w:r>
      <w:r w:rsidRPr="0091672E">
        <w:t>, Sunderbyn County Hospital</w:t>
      </w:r>
      <w:r w:rsidRPr="0091672E">
        <w:rPr>
          <w:vertAlign w:val="superscript"/>
        </w:rPr>
        <w:t>10</w:t>
      </w:r>
      <w:r w:rsidRPr="0091672E">
        <w:t>, Falun County Hospital</w:t>
      </w:r>
      <w:r w:rsidRPr="0091672E">
        <w:rPr>
          <w:vertAlign w:val="superscript"/>
        </w:rPr>
        <w:t>11</w:t>
      </w:r>
      <w:r w:rsidRPr="0091672E">
        <w:t xml:space="preserve"> &amp; Synphora AB</w:t>
      </w:r>
      <w:r w:rsidRPr="0091672E">
        <w:rPr>
          <w:vertAlign w:val="superscript"/>
        </w:rPr>
        <w:t>12</w:t>
      </w:r>
      <w:r w:rsidRPr="0091672E">
        <w:t>, Sweden.</w:t>
      </w:r>
    </w:p>
    <w:p w:rsidR="00F056A7" w:rsidRDefault="00F056A7" w:rsidP="00F2656B">
      <w:pPr>
        <w:pStyle w:val="Default"/>
        <w:rPr>
          <w:sz w:val="32"/>
          <w:szCs w:val="20"/>
        </w:rPr>
      </w:pPr>
    </w:p>
    <w:p w:rsidR="00367BB9" w:rsidRDefault="00367BB9" w:rsidP="00367BB9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Two previous placebo-controlled cross-over studies in patients with long-standing Meniere have shown positive effects on hearing, tinnitus and vertigo after intratympanic injections of latanoprost, a F2</w:t>
      </w:r>
      <w:r>
        <w:rPr>
          <w:sz w:val="23"/>
          <w:szCs w:val="23"/>
        </w:rPr>
        <w:t>α</w:t>
      </w:r>
      <w:r>
        <w:rPr>
          <w:sz w:val="23"/>
          <w:szCs w:val="23"/>
          <w:lang w:val="en-US"/>
        </w:rPr>
        <w:t xml:space="preserve">-prostaglandin analogue commonly used to treat glaucoma, but the low number of patients made firm conclusions difficult. </w:t>
      </w:r>
    </w:p>
    <w:p w:rsidR="00367BB9" w:rsidRDefault="00367BB9" w:rsidP="00367BB9">
      <w:pPr>
        <w:pStyle w:val="Default"/>
        <w:rPr>
          <w:sz w:val="23"/>
          <w:szCs w:val="23"/>
          <w:lang w:val="en-US"/>
        </w:rPr>
      </w:pPr>
    </w:p>
    <w:p w:rsidR="00367BB9" w:rsidRDefault="00367BB9" w:rsidP="00367BB9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100 patients were recruited at 13 ENT-departments in Sweden. Inclusion criteria were unilateral definite Meniere´s disease of stage II-IV, speech discrimination &lt; 85% and &gt; 2 vertigo attacks during the previous 3 months. Patients were randomized to receive 1 injection of latanoprost 0.005% (n= 27), 1 injection of placebo (n=13), 3 injections of latanoprost 0.005% (n=40) or 3 injections of placebo (n=20) on 3 consecutive days. Before treatment start there w</w:t>
      </w:r>
      <w:r w:rsidR="00780F1E">
        <w:rPr>
          <w:sz w:val="23"/>
          <w:szCs w:val="23"/>
          <w:lang w:val="en-US"/>
        </w:rPr>
        <w:t>as a run-in period of 4-6 weeks.</w:t>
      </w:r>
    </w:p>
    <w:p w:rsidR="00780F1E" w:rsidRDefault="00780F1E" w:rsidP="00367BB9">
      <w:pPr>
        <w:pStyle w:val="Default"/>
        <w:rPr>
          <w:sz w:val="23"/>
          <w:szCs w:val="23"/>
          <w:lang w:val="en-US"/>
        </w:rPr>
      </w:pPr>
    </w:p>
    <w:p w:rsidR="00367BB9" w:rsidRDefault="00367BB9" w:rsidP="00367BB9">
      <w:pPr>
        <w:pStyle w:val="Default"/>
        <w:rPr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Primary endpoint was s</w:t>
      </w:r>
      <w:r>
        <w:rPr>
          <w:sz w:val="23"/>
          <w:szCs w:val="23"/>
          <w:lang w:val="en-US"/>
        </w:rPr>
        <w:t>peech discrimination score in noise (SDSN) at day 14 after first injection.</w:t>
      </w:r>
      <w:r>
        <w:rPr>
          <w:bCs/>
          <w:sz w:val="23"/>
          <w:szCs w:val="23"/>
          <w:lang w:val="en-US"/>
        </w:rPr>
        <w:t xml:space="preserve"> Secondary endpoints were total number of vertigo and drop attacks during 3 months, </w:t>
      </w:r>
      <w:r>
        <w:rPr>
          <w:sz w:val="23"/>
          <w:szCs w:val="23"/>
          <w:lang w:val="en-US"/>
        </w:rPr>
        <w:t>SDSN, pure tone audiometry, Tinnitus Handicap Inventory (THI), subjective assessment of tinnitus, hearing and vertigo by Likert scales at Days 28, 42, 56 and 84.</w:t>
      </w:r>
    </w:p>
    <w:p w:rsidR="00367BB9" w:rsidRDefault="00367BB9" w:rsidP="00367BB9">
      <w:pPr>
        <w:rPr>
          <w:lang w:val="en-US"/>
        </w:rPr>
      </w:pPr>
    </w:p>
    <w:p w:rsidR="00367BB9" w:rsidRPr="00780F1E" w:rsidRDefault="00367BB9" w:rsidP="00780F1E">
      <w:pPr>
        <w:rPr>
          <w:lang w:val="en-US"/>
        </w:rPr>
      </w:pPr>
      <w:r>
        <w:rPr>
          <w:lang w:val="en-US"/>
        </w:rPr>
        <w:t>There were no statistically significant differences between placebo and latanoprost in any of the endpoints. There were, however, trends of an improvement in hearing following 1 intratympanic injection measured both as (1) pure tone audiometry (at all frequencies; 250 - 8 KHz) and (2) SDSN. There was also a trend of an improvement in THI-score following 3 injections.</w:t>
      </w:r>
    </w:p>
    <w:sectPr w:rsidR="00367BB9" w:rsidRPr="0078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E761B"/>
    <w:multiLevelType w:val="multilevel"/>
    <w:tmpl w:val="6D8A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6B"/>
    <w:rsid w:val="000601E2"/>
    <w:rsid w:val="000D0452"/>
    <w:rsid w:val="000E4AB2"/>
    <w:rsid w:val="00115CB4"/>
    <w:rsid w:val="00367BB9"/>
    <w:rsid w:val="004B0C58"/>
    <w:rsid w:val="00515A77"/>
    <w:rsid w:val="00780F1E"/>
    <w:rsid w:val="0091625A"/>
    <w:rsid w:val="0091672E"/>
    <w:rsid w:val="00925BD2"/>
    <w:rsid w:val="00AE4868"/>
    <w:rsid w:val="00B51B0F"/>
    <w:rsid w:val="00C8135A"/>
    <w:rsid w:val="00D302AD"/>
    <w:rsid w:val="00D3526E"/>
    <w:rsid w:val="00E66264"/>
    <w:rsid w:val="00F056A7"/>
    <w:rsid w:val="00F2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32947-904B-4A51-816E-1C0C8D01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65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2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Karlberg Mikael</dc:creator>
  <cp:keywords/>
  <dc:description/>
  <cp:lastModifiedBy>Mary Dornhoffer</cp:lastModifiedBy>
  <cp:revision>3</cp:revision>
  <cp:lastPrinted>2020-01-06T01:51:00Z</cp:lastPrinted>
  <dcterms:created xsi:type="dcterms:W3CDTF">2019-12-02T19:39:00Z</dcterms:created>
  <dcterms:modified xsi:type="dcterms:W3CDTF">2020-01-06T01:51:00Z</dcterms:modified>
</cp:coreProperties>
</file>