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25F76" w14:textId="0F52F4AC" w:rsidR="003C7A54" w:rsidRPr="00DA361C" w:rsidRDefault="00DF7776" w:rsidP="00515833">
      <w:pPr>
        <w:rPr>
          <w:b/>
          <w:bCs/>
        </w:rPr>
      </w:pPr>
      <w:bookmarkStart w:id="0" w:name="_GoBack"/>
      <w:bookmarkEnd w:id="0"/>
      <w:r w:rsidRPr="00DA361C">
        <w:rPr>
          <w:b/>
          <w:bCs/>
        </w:rPr>
        <w:t>Third Window Syndrome: Surgical Management of Cochlea-Facial Nerve Dehiscence</w:t>
      </w:r>
    </w:p>
    <w:p w14:paraId="153EC999" w14:textId="77777777" w:rsidR="00B5740E" w:rsidRPr="003C7A54" w:rsidRDefault="00B5740E" w:rsidP="00515833"/>
    <w:p w14:paraId="17AC2B1D" w14:textId="6A3EA4FA" w:rsidR="00515833" w:rsidRDefault="00515833" w:rsidP="00515833">
      <w:r w:rsidRPr="004A372A">
        <w:t xml:space="preserve">P. Ashley Wackym, MD; </w:t>
      </w:r>
      <w:r>
        <w:t>Carey D. Balaban</w:t>
      </w:r>
      <w:r w:rsidRPr="004A372A">
        <w:t xml:space="preserve">, </w:t>
      </w:r>
      <w:r>
        <w:t xml:space="preserve">PhD; </w:t>
      </w:r>
      <w:proofErr w:type="spellStart"/>
      <w:r>
        <w:t>Pengfei</w:t>
      </w:r>
      <w:proofErr w:type="spellEnd"/>
      <w:r>
        <w:t xml:space="preserve"> Zhang, MD;</w:t>
      </w:r>
      <w:r w:rsidRPr="004A372A">
        <w:t xml:space="preserve"> David A. </w:t>
      </w:r>
      <w:proofErr w:type="spellStart"/>
      <w:r w:rsidRPr="004A372A">
        <w:t>Siker</w:t>
      </w:r>
      <w:proofErr w:type="spellEnd"/>
      <w:r w:rsidRPr="004A372A">
        <w:t>, MD</w:t>
      </w:r>
      <w:r>
        <w:t xml:space="preserve">; Jasdeep S. </w:t>
      </w:r>
      <w:proofErr w:type="spellStart"/>
      <w:r>
        <w:t>Hundal</w:t>
      </w:r>
      <w:proofErr w:type="spellEnd"/>
      <w:r>
        <w:t xml:space="preserve">, </w:t>
      </w:r>
      <w:r w:rsidRPr="004A372A">
        <w:t>PsyD</w:t>
      </w:r>
    </w:p>
    <w:p w14:paraId="004BF2D3" w14:textId="77777777" w:rsidR="00515833" w:rsidRDefault="00515833" w:rsidP="00515833"/>
    <w:p w14:paraId="35E4A5B5" w14:textId="043D383E" w:rsidR="009B31BD" w:rsidRDefault="00515833" w:rsidP="00515833">
      <w:r w:rsidRPr="004A372A">
        <w:t xml:space="preserve">From the Department of Otolaryngology – Head and Neck Surgery, Rutgers Robert Wood Johnson Medical School (P.A.W.), New Brunswick, New Jersey; </w:t>
      </w:r>
      <w:r>
        <w:t>the Department of Otolaryngology (C.D.B.), University of Pittsburgh School of Medicine, Pittsburgh, Pennsylvania; the Department of Neurology (P.Z.)</w:t>
      </w:r>
      <w:r w:rsidRPr="004A372A">
        <w:t>, the</w:t>
      </w:r>
      <w:r>
        <w:t xml:space="preserve"> </w:t>
      </w:r>
      <w:r w:rsidRPr="004A372A">
        <w:t xml:space="preserve">Department of </w:t>
      </w:r>
      <w:r>
        <w:t>Neuros</w:t>
      </w:r>
      <w:r w:rsidRPr="004A372A">
        <w:t>urgery</w:t>
      </w:r>
      <w:r>
        <w:t xml:space="preserve"> </w:t>
      </w:r>
      <w:r w:rsidRPr="004A372A">
        <w:t>(</w:t>
      </w:r>
      <w:r>
        <w:t>J</w:t>
      </w:r>
      <w:r w:rsidRPr="004A372A">
        <w:t>.</w:t>
      </w:r>
      <w:r>
        <w:t>S.H</w:t>
      </w:r>
      <w:r w:rsidRPr="004A372A">
        <w:t>.)</w:t>
      </w:r>
      <w:r>
        <w:t xml:space="preserve">, </w:t>
      </w:r>
      <w:r w:rsidRPr="004A372A">
        <w:t xml:space="preserve">Rutgers Robert Wood Johnson Medical School, New Brunswick, New Jersey; and </w:t>
      </w:r>
      <w:proofErr w:type="spellStart"/>
      <w:r w:rsidRPr="004A372A">
        <w:t>Siker</w:t>
      </w:r>
      <w:proofErr w:type="spellEnd"/>
      <w:r w:rsidRPr="004A372A">
        <w:t xml:space="preserve"> </w:t>
      </w:r>
      <w:r>
        <w:t xml:space="preserve">Medical </w:t>
      </w:r>
      <w:r w:rsidRPr="004A372A">
        <w:t>Imaging and Intervention (D.A.S.), Portland, Oregon.</w:t>
      </w:r>
    </w:p>
    <w:p w14:paraId="189A15AF" w14:textId="77777777" w:rsidR="00515833" w:rsidRDefault="00515833" w:rsidP="00515833"/>
    <w:p w14:paraId="29940A44" w14:textId="77777777" w:rsidR="00515833" w:rsidRPr="002C4DE6" w:rsidRDefault="00515833" w:rsidP="00515833">
      <w:pPr>
        <w:rPr>
          <w:rFonts w:eastAsia="Cambria"/>
          <w:color w:val="000000" w:themeColor="text1"/>
        </w:rPr>
      </w:pPr>
      <w:r w:rsidRPr="002C4DE6">
        <w:rPr>
          <w:rFonts w:eastAsia="Cambria"/>
          <w:b/>
          <w:color w:val="000000" w:themeColor="text1"/>
        </w:rPr>
        <w:t>Objective:</w:t>
      </w:r>
      <w:r w:rsidRPr="002C4DE6">
        <w:rPr>
          <w:rFonts w:eastAsia="Cambria"/>
          <w:color w:val="000000" w:themeColor="text1"/>
        </w:rPr>
        <w:t xml:space="preserve"> </w:t>
      </w:r>
      <w:r>
        <w:rPr>
          <w:rFonts w:eastAsia="Cambria"/>
          <w:color w:val="000000" w:themeColor="text1"/>
        </w:rPr>
        <w:t xml:space="preserve">This communication is the first assessment of outcomes after surgical repair of </w:t>
      </w:r>
      <w:r w:rsidRPr="002C4DE6">
        <w:rPr>
          <w:rFonts w:eastAsia="Cambria"/>
          <w:color w:val="000000" w:themeColor="text1"/>
        </w:rPr>
        <w:t xml:space="preserve">cochlea-facial nerve dehiscence </w:t>
      </w:r>
      <w:r>
        <w:rPr>
          <w:rFonts w:eastAsia="Cambria"/>
          <w:color w:val="000000" w:themeColor="text1"/>
        </w:rPr>
        <w:t>(CFD) in a series of patients</w:t>
      </w:r>
      <w:r w:rsidRPr="002C4DE6">
        <w:rPr>
          <w:rFonts w:eastAsia="Cambria"/>
          <w:color w:val="000000" w:themeColor="text1"/>
        </w:rPr>
        <w:t xml:space="preserve">. Pre- and postoperative quantitative measurement of validated survey instruments, symptoms, diagnostic findings and anonymous video descriptions of symptoms in a cohort of </w:t>
      </w:r>
      <w:r>
        <w:rPr>
          <w:rFonts w:eastAsia="Cambria"/>
          <w:color w:val="000000" w:themeColor="text1"/>
        </w:rPr>
        <w:t xml:space="preserve">16 </w:t>
      </w:r>
      <w:r w:rsidRPr="002C4DE6">
        <w:rPr>
          <w:rFonts w:eastAsia="Cambria"/>
          <w:color w:val="000000" w:themeColor="text1"/>
        </w:rPr>
        <w:t xml:space="preserve">patients with </w:t>
      </w:r>
      <w:r>
        <w:rPr>
          <w:rFonts w:eastAsia="Cambria"/>
          <w:color w:val="000000" w:themeColor="text1"/>
        </w:rPr>
        <w:t>CFD</w:t>
      </w:r>
      <w:r w:rsidRPr="002C4DE6">
        <w:rPr>
          <w:rFonts w:eastAsia="Cambria"/>
          <w:color w:val="000000" w:themeColor="text1"/>
        </w:rPr>
        <w:t xml:space="preserve"> and third window syndrome (TWS) symptoms were systematically studied. </w:t>
      </w:r>
    </w:p>
    <w:p w14:paraId="2F5A9FF5" w14:textId="77777777" w:rsidR="00515833" w:rsidRPr="002C4DE6" w:rsidRDefault="00515833" w:rsidP="00515833">
      <w:pPr>
        <w:rPr>
          <w:rFonts w:eastAsia="Cambria"/>
          <w:color w:val="000000" w:themeColor="text1"/>
        </w:rPr>
      </w:pPr>
      <w:r w:rsidRPr="002C4DE6">
        <w:rPr>
          <w:rFonts w:eastAsia="Cambria"/>
          <w:b/>
          <w:color w:val="000000" w:themeColor="text1"/>
        </w:rPr>
        <w:t>Study design:</w:t>
      </w:r>
      <w:r w:rsidRPr="002C4DE6">
        <w:rPr>
          <w:rFonts w:eastAsia="Cambria"/>
          <w:color w:val="000000" w:themeColor="text1"/>
        </w:rPr>
        <w:t xml:space="preserve"> Observational analytic case-control study.</w:t>
      </w:r>
    </w:p>
    <w:p w14:paraId="42B737E5" w14:textId="77777777" w:rsidR="00515833" w:rsidRPr="002C4DE6" w:rsidRDefault="00515833" w:rsidP="00515833">
      <w:pPr>
        <w:rPr>
          <w:rFonts w:eastAsia="Cambria"/>
          <w:color w:val="000000" w:themeColor="text1"/>
        </w:rPr>
      </w:pPr>
      <w:r w:rsidRPr="002C4DE6">
        <w:rPr>
          <w:rFonts w:eastAsia="Cambria"/>
          <w:b/>
          <w:color w:val="000000" w:themeColor="text1"/>
        </w:rPr>
        <w:t>Setting:</w:t>
      </w:r>
      <w:r w:rsidRPr="002C4DE6">
        <w:rPr>
          <w:rFonts w:eastAsia="Cambria"/>
          <w:color w:val="000000" w:themeColor="text1"/>
        </w:rPr>
        <w:t xml:space="preserve"> Quaternary referral center.</w:t>
      </w:r>
    </w:p>
    <w:p w14:paraId="09E82762" w14:textId="77777777" w:rsidR="00515833" w:rsidRPr="002C4DE6" w:rsidRDefault="00515833" w:rsidP="00515833">
      <w:pPr>
        <w:rPr>
          <w:rFonts w:eastAsia="Cambria"/>
          <w:color w:val="000000" w:themeColor="text1"/>
        </w:rPr>
      </w:pPr>
      <w:r w:rsidRPr="002C4DE6">
        <w:rPr>
          <w:rFonts w:eastAsia="Cambria"/>
          <w:b/>
          <w:color w:val="000000" w:themeColor="text1"/>
        </w:rPr>
        <w:t>Patients:</w:t>
      </w:r>
      <w:r w:rsidRPr="002C4DE6">
        <w:rPr>
          <w:rFonts w:eastAsia="Cambria"/>
          <w:color w:val="000000" w:themeColor="text1"/>
        </w:rPr>
        <w:t xml:space="preserve"> </w:t>
      </w:r>
      <w:r>
        <w:rPr>
          <w:rFonts w:eastAsia="Cambria"/>
          <w:color w:val="000000" w:themeColor="text1"/>
        </w:rPr>
        <w:t>Group 1 had</w:t>
      </w:r>
      <w:r w:rsidRPr="002C4DE6">
        <w:rPr>
          <w:rFonts w:eastAsia="Cambria"/>
          <w:color w:val="000000" w:themeColor="text1"/>
        </w:rPr>
        <w:t xml:space="preserve"> 8 patients (5 children and 3 adults) with </w:t>
      </w:r>
      <w:r>
        <w:rPr>
          <w:rFonts w:eastAsia="Cambria"/>
          <w:color w:val="000000" w:themeColor="text1"/>
        </w:rPr>
        <w:t xml:space="preserve">CFD and </w:t>
      </w:r>
      <w:r w:rsidRPr="002C4DE6">
        <w:rPr>
          <w:rFonts w:eastAsia="Cambria"/>
          <w:color w:val="000000" w:themeColor="text1"/>
        </w:rPr>
        <w:t xml:space="preserve">TWS who underwent surgical management using a previously described round window reinforcement technique. </w:t>
      </w:r>
      <w:r>
        <w:rPr>
          <w:rFonts w:eastAsia="Cambria"/>
          <w:color w:val="000000" w:themeColor="text1"/>
        </w:rPr>
        <w:t>Group 2 had 8 patients (2 children and 6 adults) with CFD who did not have surgical intervention.</w:t>
      </w:r>
    </w:p>
    <w:p w14:paraId="2A3B9040" w14:textId="77777777" w:rsidR="00515833" w:rsidRPr="002C4DE6" w:rsidRDefault="00515833" w:rsidP="00515833">
      <w:pPr>
        <w:rPr>
          <w:rFonts w:eastAsia="Cambria"/>
          <w:color w:val="000000" w:themeColor="text1"/>
        </w:rPr>
      </w:pPr>
      <w:r w:rsidRPr="002C4DE6">
        <w:rPr>
          <w:rFonts w:eastAsia="Cambria"/>
          <w:b/>
          <w:color w:val="000000" w:themeColor="text1"/>
        </w:rPr>
        <w:t>Interventions:</w:t>
      </w:r>
      <w:r w:rsidRPr="002C4DE6">
        <w:rPr>
          <w:rFonts w:eastAsia="Cambria"/>
          <w:color w:val="000000" w:themeColor="text1"/>
        </w:rPr>
        <w:t xml:space="preserve"> The Dizziness Handicap Inventory (DHI) and Headache Impact Test (HIT-6) were administered preoperatively and postoperatively. In addition, diagnostic findings of comprehensive audiometry, cervical vestibular evoked myogenic potential (cVEMP) thresholds and electrocochleography (ECoG) were studied. Symptoms before and after surgical intervention were compared.</w:t>
      </w:r>
    </w:p>
    <w:p w14:paraId="4A19C330" w14:textId="77777777" w:rsidR="00515833" w:rsidRPr="002C4DE6" w:rsidRDefault="00515833" w:rsidP="00515833">
      <w:pPr>
        <w:rPr>
          <w:rFonts w:eastAsia="Cambria"/>
          <w:color w:val="000000" w:themeColor="text1"/>
        </w:rPr>
      </w:pPr>
      <w:r w:rsidRPr="002C4DE6">
        <w:rPr>
          <w:rFonts w:eastAsia="Cambria"/>
          <w:b/>
          <w:color w:val="000000" w:themeColor="text1"/>
        </w:rPr>
        <w:t>Main outcome measures:</w:t>
      </w:r>
      <w:r w:rsidRPr="002C4DE6">
        <w:rPr>
          <w:rFonts w:eastAsia="Cambria"/>
          <w:color w:val="000000" w:themeColor="text1"/>
        </w:rPr>
        <w:t xml:space="preserve"> Pre- vs postoperative DHI</w:t>
      </w:r>
      <w:r>
        <w:rPr>
          <w:rFonts w:eastAsia="Cambria"/>
          <w:color w:val="000000" w:themeColor="text1"/>
        </w:rPr>
        <w:t>,</w:t>
      </w:r>
      <w:r w:rsidRPr="002C4DE6">
        <w:rPr>
          <w:rFonts w:eastAsia="Cambria"/>
          <w:color w:val="000000" w:themeColor="text1"/>
        </w:rPr>
        <w:t xml:space="preserve"> HIT-6 </w:t>
      </w:r>
      <w:r>
        <w:rPr>
          <w:rFonts w:eastAsia="Cambria"/>
          <w:color w:val="000000" w:themeColor="text1"/>
        </w:rPr>
        <w:t xml:space="preserve">and audiometric data </w:t>
      </w:r>
      <w:r w:rsidRPr="002C4DE6">
        <w:rPr>
          <w:rFonts w:eastAsia="Cambria"/>
          <w:color w:val="000000" w:themeColor="text1"/>
        </w:rPr>
        <w:t xml:space="preserve">were compared statistically. The thresholds </w:t>
      </w:r>
      <w:r>
        <w:rPr>
          <w:rFonts w:eastAsia="Cambria"/>
          <w:color w:val="000000" w:themeColor="text1"/>
        </w:rPr>
        <w:t xml:space="preserve">and amplitudes </w:t>
      </w:r>
      <w:r w:rsidRPr="002C4DE6">
        <w:rPr>
          <w:rFonts w:eastAsia="Cambria"/>
          <w:color w:val="000000" w:themeColor="text1"/>
        </w:rPr>
        <w:t xml:space="preserve">for cVEMP in symptomatic ears, ears with cochlea-facial nerve dehiscence and ears without </w:t>
      </w:r>
      <w:r>
        <w:rPr>
          <w:rFonts w:eastAsia="Cambria"/>
          <w:color w:val="000000" w:themeColor="text1"/>
        </w:rPr>
        <w:t>CFD</w:t>
      </w:r>
      <w:r w:rsidRPr="002C4DE6">
        <w:rPr>
          <w:rFonts w:eastAsia="Cambria"/>
          <w:color w:val="000000" w:themeColor="text1"/>
        </w:rPr>
        <w:t xml:space="preserve"> were </w:t>
      </w:r>
      <w:r>
        <w:rPr>
          <w:rFonts w:eastAsia="Cambria"/>
          <w:color w:val="000000" w:themeColor="text1"/>
        </w:rPr>
        <w:t xml:space="preserve">compared </w:t>
      </w:r>
      <w:r w:rsidRPr="002C4DE6">
        <w:rPr>
          <w:rFonts w:eastAsia="Cambria"/>
          <w:color w:val="000000" w:themeColor="text1"/>
        </w:rPr>
        <w:t xml:space="preserve">statistically. </w:t>
      </w:r>
    </w:p>
    <w:p w14:paraId="5961DD68" w14:textId="77777777" w:rsidR="00515833" w:rsidRPr="002C4DE6" w:rsidRDefault="00515833" w:rsidP="00515833">
      <w:pPr>
        <w:rPr>
          <w:rFonts w:eastAsia="Cambria"/>
          <w:color w:val="000000" w:themeColor="text1"/>
        </w:rPr>
      </w:pPr>
      <w:r w:rsidRPr="002C4DE6">
        <w:rPr>
          <w:rFonts w:eastAsia="Cambria"/>
          <w:b/>
          <w:color w:val="000000" w:themeColor="text1"/>
        </w:rPr>
        <w:t>Results:</w:t>
      </w:r>
      <w:r w:rsidRPr="002C4DE6">
        <w:rPr>
          <w:rFonts w:eastAsia="Cambria"/>
          <w:color w:val="000000" w:themeColor="text1"/>
        </w:rPr>
        <w:t xml:space="preserve"> There was a highly significant improvement in DHI and HIT-6 at pre- vs postoperative (p&lt;0.00</w:t>
      </w:r>
      <w:r>
        <w:rPr>
          <w:rFonts w:eastAsia="Cambria"/>
          <w:color w:val="000000" w:themeColor="text1"/>
        </w:rPr>
        <w:t>0</w:t>
      </w:r>
      <w:r w:rsidRPr="002C4DE6">
        <w:rPr>
          <w:rFonts w:eastAsia="Cambria"/>
          <w:color w:val="000000" w:themeColor="text1"/>
        </w:rPr>
        <w:t>1</w:t>
      </w:r>
      <w:r>
        <w:rPr>
          <w:rFonts w:eastAsia="Cambria"/>
          <w:color w:val="000000" w:themeColor="text1"/>
        </w:rPr>
        <w:t xml:space="preserve"> and p&lt;0.001, respectively</w:t>
      </w:r>
      <w:r w:rsidRPr="002C4DE6">
        <w:rPr>
          <w:rFonts w:eastAsia="Cambria"/>
          <w:color w:val="000000" w:themeColor="text1"/>
        </w:rPr>
        <w:t>). The age range was 12.</w:t>
      </w:r>
      <w:r>
        <w:rPr>
          <w:rFonts w:eastAsia="Cambria"/>
          <w:color w:val="000000" w:themeColor="text1"/>
        </w:rPr>
        <w:t>8</w:t>
      </w:r>
      <w:r w:rsidRPr="002C4DE6">
        <w:rPr>
          <w:rFonts w:eastAsia="Cambria"/>
          <w:color w:val="000000" w:themeColor="text1"/>
        </w:rPr>
        <w:t xml:space="preserve"> – 52.9 years at the time of surgery (mean=24.7 years). There were </w:t>
      </w:r>
      <w:r>
        <w:rPr>
          <w:rFonts w:eastAsia="Cambria"/>
          <w:color w:val="000000" w:themeColor="text1"/>
        </w:rPr>
        <w:t>6</w:t>
      </w:r>
      <w:r w:rsidRPr="002C4DE6">
        <w:rPr>
          <w:rFonts w:eastAsia="Cambria"/>
          <w:color w:val="000000" w:themeColor="text1"/>
        </w:rPr>
        <w:t xml:space="preserve"> females and 2 males. All 8 had a history of trauma before the onset of their symptoms. The mean cVEMP threshold was 75 dB </w:t>
      </w:r>
      <w:r>
        <w:rPr>
          <w:rFonts w:eastAsia="Cambria"/>
          <w:color w:val="000000" w:themeColor="text1"/>
        </w:rPr>
        <w:t xml:space="preserve">nHL </w:t>
      </w:r>
      <w:r w:rsidRPr="002C4DE6">
        <w:rPr>
          <w:rFonts w:eastAsia="Cambria"/>
          <w:color w:val="000000" w:themeColor="text1"/>
        </w:rPr>
        <w:t>(SD 3.</w:t>
      </w:r>
      <w:r>
        <w:rPr>
          <w:rFonts w:eastAsia="Cambria"/>
          <w:color w:val="000000" w:themeColor="text1"/>
        </w:rPr>
        <w:t>8</w:t>
      </w:r>
      <w:r w:rsidRPr="002C4DE6">
        <w:rPr>
          <w:rFonts w:eastAsia="Cambria"/>
          <w:color w:val="000000" w:themeColor="text1"/>
        </w:rPr>
        <w:t>) for the operated ear and 85.7 dB (SD 10.</w:t>
      </w:r>
      <w:r>
        <w:rPr>
          <w:rFonts w:eastAsia="Cambria"/>
          <w:color w:val="000000" w:themeColor="text1"/>
        </w:rPr>
        <w:t>6</w:t>
      </w:r>
      <w:r w:rsidRPr="002C4DE6">
        <w:rPr>
          <w:rFonts w:eastAsia="Cambria"/>
          <w:color w:val="000000" w:themeColor="text1"/>
        </w:rPr>
        <w:t xml:space="preserve">) for the unoperated ear. In contrast to superior semicircular canal dehiscence, where most ears have </w:t>
      </w:r>
      <w:r>
        <w:rPr>
          <w:rFonts w:eastAsia="Cambria"/>
          <w:color w:val="000000" w:themeColor="text1"/>
        </w:rPr>
        <w:t xml:space="preserve">abnormal </w:t>
      </w:r>
      <w:r w:rsidRPr="002C4DE6">
        <w:rPr>
          <w:rFonts w:eastAsia="Cambria"/>
          <w:color w:val="000000" w:themeColor="text1"/>
        </w:rPr>
        <w:t xml:space="preserve">ECoG </w:t>
      </w:r>
      <w:r>
        <w:rPr>
          <w:rFonts w:eastAsia="Cambria"/>
          <w:color w:val="000000" w:themeColor="text1"/>
        </w:rPr>
        <w:t>findings suggestive</w:t>
      </w:r>
      <w:r w:rsidRPr="002C4DE6">
        <w:rPr>
          <w:rFonts w:eastAsia="Cambria"/>
          <w:color w:val="000000" w:themeColor="text1"/>
        </w:rPr>
        <w:t xml:space="preserve"> of endolymphatic hydrops, only </w:t>
      </w:r>
      <w:r>
        <w:rPr>
          <w:rFonts w:eastAsia="Cambria"/>
          <w:color w:val="000000" w:themeColor="text1"/>
        </w:rPr>
        <w:t>1</w:t>
      </w:r>
      <w:r w:rsidRPr="002C4DE6">
        <w:rPr>
          <w:rFonts w:eastAsia="Cambria"/>
          <w:color w:val="000000" w:themeColor="text1"/>
        </w:rPr>
        <w:t xml:space="preserve"> of </w:t>
      </w:r>
      <w:r>
        <w:rPr>
          <w:rFonts w:eastAsia="Cambria"/>
          <w:color w:val="000000" w:themeColor="text1"/>
        </w:rPr>
        <w:t>8</w:t>
      </w:r>
      <w:r w:rsidRPr="002C4DE6">
        <w:rPr>
          <w:rFonts w:eastAsia="Cambria"/>
          <w:color w:val="000000" w:themeColor="text1"/>
        </w:rPr>
        <w:t xml:space="preserve"> operated </w:t>
      </w:r>
      <w:r>
        <w:rPr>
          <w:rFonts w:eastAsia="Cambria"/>
          <w:color w:val="000000" w:themeColor="text1"/>
        </w:rPr>
        <w:t xml:space="preserve">CFD </w:t>
      </w:r>
      <w:r w:rsidRPr="002C4DE6">
        <w:rPr>
          <w:rFonts w:eastAsia="Cambria"/>
          <w:color w:val="000000" w:themeColor="text1"/>
        </w:rPr>
        <w:t>ears (</w:t>
      </w:r>
      <w:r>
        <w:rPr>
          <w:rFonts w:eastAsia="Cambria"/>
          <w:color w:val="000000" w:themeColor="text1"/>
        </w:rPr>
        <w:t>1</w:t>
      </w:r>
      <w:r w:rsidRPr="002C4DE6">
        <w:rPr>
          <w:rFonts w:eastAsia="Cambria"/>
          <w:color w:val="000000" w:themeColor="text1"/>
        </w:rPr>
        <w:t xml:space="preserve"> of 16 ears) had </w:t>
      </w:r>
      <w:r>
        <w:rPr>
          <w:rFonts w:eastAsia="Cambria"/>
          <w:color w:val="000000" w:themeColor="text1"/>
        </w:rPr>
        <w:t>an abnormal ECoG study</w:t>
      </w:r>
      <w:r w:rsidRPr="002C4DE6">
        <w:rPr>
          <w:rFonts w:eastAsia="Cambria"/>
          <w:color w:val="000000" w:themeColor="text1"/>
        </w:rPr>
        <w:t xml:space="preserve">. </w:t>
      </w:r>
    </w:p>
    <w:p w14:paraId="4D47782D" w14:textId="3BA350E8" w:rsidR="00D448A8" w:rsidRDefault="00515833" w:rsidP="00515833">
      <w:r w:rsidRPr="002C4DE6">
        <w:rPr>
          <w:rFonts w:eastAsia="Cambria"/>
          <w:b/>
          <w:color w:val="000000" w:themeColor="text1"/>
        </w:rPr>
        <w:t>Conclusions:</w:t>
      </w:r>
      <w:r w:rsidRPr="002C4DE6">
        <w:rPr>
          <w:rFonts w:eastAsia="Cambria"/>
          <w:color w:val="000000" w:themeColor="text1"/>
        </w:rPr>
        <w:t xml:space="preserve"> Overall there was a marked improvement in DHI, HIT-6 and symptoms postoperatively. </w:t>
      </w:r>
      <w:r>
        <w:rPr>
          <w:rFonts w:eastAsia="Cambria"/>
          <w:color w:val="000000" w:themeColor="text1"/>
        </w:rPr>
        <w:t>Statistically significant r</w:t>
      </w:r>
      <w:r w:rsidRPr="002C4DE6">
        <w:rPr>
          <w:rFonts w:eastAsia="Cambria"/>
          <w:color w:val="000000" w:themeColor="text1"/>
        </w:rPr>
        <w:t>educ</w:t>
      </w:r>
      <w:r>
        <w:rPr>
          <w:rFonts w:eastAsia="Cambria"/>
          <w:color w:val="000000" w:themeColor="text1"/>
        </w:rPr>
        <w:t>tion in</w:t>
      </w:r>
      <w:r w:rsidRPr="002C4DE6">
        <w:rPr>
          <w:rFonts w:eastAsia="Cambria"/>
          <w:color w:val="000000" w:themeColor="text1"/>
        </w:rPr>
        <w:t xml:space="preserve"> cVEMP thresholds w</w:t>
      </w:r>
      <w:r>
        <w:rPr>
          <w:rFonts w:eastAsia="Cambria"/>
          <w:color w:val="000000" w:themeColor="text1"/>
        </w:rPr>
        <w:t>as</w:t>
      </w:r>
      <w:r w:rsidRPr="002C4DE6">
        <w:rPr>
          <w:rFonts w:eastAsia="Cambria"/>
          <w:color w:val="000000" w:themeColor="text1"/>
        </w:rPr>
        <w:t xml:space="preserve"> observed in patients with radiographic evidence of </w:t>
      </w:r>
      <w:r>
        <w:rPr>
          <w:rFonts w:eastAsia="Cambria"/>
          <w:color w:val="000000" w:themeColor="text1"/>
        </w:rPr>
        <w:t>CFD</w:t>
      </w:r>
      <w:r w:rsidRPr="002C4DE6">
        <w:rPr>
          <w:rFonts w:eastAsia="Cambria"/>
          <w:color w:val="000000" w:themeColor="text1"/>
        </w:rPr>
        <w:t xml:space="preserve">. Surgical management with round window reinforcement in patients with </w:t>
      </w:r>
      <w:r>
        <w:rPr>
          <w:rFonts w:eastAsia="Cambria"/>
          <w:color w:val="000000" w:themeColor="text1"/>
        </w:rPr>
        <w:t>CFD</w:t>
      </w:r>
      <w:r w:rsidRPr="002C4DE6">
        <w:rPr>
          <w:rFonts w:eastAsia="Cambria"/>
          <w:color w:val="000000" w:themeColor="text1"/>
        </w:rPr>
        <w:t xml:space="preserve"> was associated with improved symptoms and outcomes measures. </w:t>
      </w:r>
      <w:r w:rsidR="004E4004">
        <w:t xml:space="preserve"> </w:t>
      </w:r>
    </w:p>
    <w:sectPr w:rsidR="00D448A8" w:rsidSect="005158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16D88"/>
    <w:multiLevelType w:val="hybridMultilevel"/>
    <w:tmpl w:val="78560054"/>
    <w:lvl w:ilvl="0" w:tplc="DDB4BEBE">
      <w:start w:val="1"/>
      <w:numFmt w:val="bullet"/>
      <w:lvlText w:val="•"/>
      <w:lvlJc w:val="left"/>
      <w:pPr>
        <w:tabs>
          <w:tab w:val="num" w:pos="720"/>
        </w:tabs>
        <w:ind w:left="720" w:hanging="360"/>
      </w:pPr>
      <w:rPr>
        <w:rFonts w:ascii="Times" w:hAnsi="Times" w:hint="default"/>
      </w:rPr>
    </w:lvl>
    <w:lvl w:ilvl="1" w:tplc="20F81A8C">
      <w:numFmt w:val="bullet"/>
      <w:lvlText w:val="–"/>
      <w:lvlJc w:val="left"/>
      <w:pPr>
        <w:tabs>
          <w:tab w:val="num" w:pos="1440"/>
        </w:tabs>
        <w:ind w:left="1440" w:hanging="360"/>
      </w:pPr>
      <w:rPr>
        <w:rFonts w:ascii="Times" w:hAnsi="Times" w:hint="default"/>
      </w:rPr>
    </w:lvl>
    <w:lvl w:ilvl="2" w:tplc="ACFCC0D6" w:tentative="1">
      <w:start w:val="1"/>
      <w:numFmt w:val="bullet"/>
      <w:lvlText w:val="•"/>
      <w:lvlJc w:val="left"/>
      <w:pPr>
        <w:tabs>
          <w:tab w:val="num" w:pos="2160"/>
        </w:tabs>
        <w:ind w:left="2160" w:hanging="360"/>
      </w:pPr>
      <w:rPr>
        <w:rFonts w:ascii="Times" w:hAnsi="Times" w:hint="default"/>
      </w:rPr>
    </w:lvl>
    <w:lvl w:ilvl="3" w:tplc="52366B06" w:tentative="1">
      <w:start w:val="1"/>
      <w:numFmt w:val="bullet"/>
      <w:lvlText w:val="•"/>
      <w:lvlJc w:val="left"/>
      <w:pPr>
        <w:tabs>
          <w:tab w:val="num" w:pos="2880"/>
        </w:tabs>
        <w:ind w:left="2880" w:hanging="360"/>
      </w:pPr>
      <w:rPr>
        <w:rFonts w:ascii="Times" w:hAnsi="Times" w:hint="default"/>
      </w:rPr>
    </w:lvl>
    <w:lvl w:ilvl="4" w:tplc="5A5C02EA" w:tentative="1">
      <w:start w:val="1"/>
      <w:numFmt w:val="bullet"/>
      <w:lvlText w:val="•"/>
      <w:lvlJc w:val="left"/>
      <w:pPr>
        <w:tabs>
          <w:tab w:val="num" w:pos="3600"/>
        </w:tabs>
        <w:ind w:left="3600" w:hanging="360"/>
      </w:pPr>
      <w:rPr>
        <w:rFonts w:ascii="Times" w:hAnsi="Times" w:hint="default"/>
      </w:rPr>
    </w:lvl>
    <w:lvl w:ilvl="5" w:tplc="213ED1AE" w:tentative="1">
      <w:start w:val="1"/>
      <w:numFmt w:val="bullet"/>
      <w:lvlText w:val="•"/>
      <w:lvlJc w:val="left"/>
      <w:pPr>
        <w:tabs>
          <w:tab w:val="num" w:pos="4320"/>
        </w:tabs>
        <w:ind w:left="4320" w:hanging="360"/>
      </w:pPr>
      <w:rPr>
        <w:rFonts w:ascii="Times" w:hAnsi="Times" w:hint="default"/>
      </w:rPr>
    </w:lvl>
    <w:lvl w:ilvl="6" w:tplc="A5CAE2BA" w:tentative="1">
      <w:start w:val="1"/>
      <w:numFmt w:val="bullet"/>
      <w:lvlText w:val="•"/>
      <w:lvlJc w:val="left"/>
      <w:pPr>
        <w:tabs>
          <w:tab w:val="num" w:pos="5040"/>
        </w:tabs>
        <w:ind w:left="5040" w:hanging="360"/>
      </w:pPr>
      <w:rPr>
        <w:rFonts w:ascii="Times" w:hAnsi="Times" w:hint="default"/>
      </w:rPr>
    </w:lvl>
    <w:lvl w:ilvl="7" w:tplc="A5AEB86E" w:tentative="1">
      <w:start w:val="1"/>
      <w:numFmt w:val="bullet"/>
      <w:lvlText w:val="•"/>
      <w:lvlJc w:val="left"/>
      <w:pPr>
        <w:tabs>
          <w:tab w:val="num" w:pos="5760"/>
        </w:tabs>
        <w:ind w:left="5760" w:hanging="360"/>
      </w:pPr>
      <w:rPr>
        <w:rFonts w:ascii="Times" w:hAnsi="Times" w:hint="default"/>
      </w:rPr>
    </w:lvl>
    <w:lvl w:ilvl="8" w:tplc="F2E86B8C" w:tentative="1">
      <w:start w:val="1"/>
      <w:numFmt w:val="bullet"/>
      <w:lvlText w:val="•"/>
      <w:lvlJc w:val="left"/>
      <w:pPr>
        <w:tabs>
          <w:tab w:val="num" w:pos="6480"/>
        </w:tabs>
        <w:ind w:left="6480" w:hanging="360"/>
      </w:pPr>
      <w:rPr>
        <w:rFonts w:ascii="Times" w:hAnsi="Time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BD"/>
    <w:rsid w:val="00006437"/>
    <w:rsid w:val="00037AB8"/>
    <w:rsid w:val="0005316B"/>
    <w:rsid w:val="000724E0"/>
    <w:rsid w:val="000B785E"/>
    <w:rsid w:val="000D253F"/>
    <w:rsid w:val="00135118"/>
    <w:rsid w:val="00145D1C"/>
    <w:rsid w:val="001E4218"/>
    <w:rsid w:val="001F6D80"/>
    <w:rsid w:val="0024489B"/>
    <w:rsid w:val="00245127"/>
    <w:rsid w:val="00274506"/>
    <w:rsid w:val="00281FD3"/>
    <w:rsid w:val="00284216"/>
    <w:rsid w:val="00290239"/>
    <w:rsid w:val="002A4971"/>
    <w:rsid w:val="002A5F15"/>
    <w:rsid w:val="002C331D"/>
    <w:rsid w:val="002F4E13"/>
    <w:rsid w:val="003136F2"/>
    <w:rsid w:val="00322D2E"/>
    <w:rsid w:val="0032723A"/>
    <w:rsid w:val="0033039C"/>
    <w:rsid w:val="0035199B"/>
    <w:rsid w:val="003C7A54"/>
    <w:rsid w:val="003D3B37"/>
    <w:rsid w:val="00402600"/>
    <w:rsid w:val="00452A49"/>
    <w:rsid w:val="004902E2"/>
    <w:rsid w:val="00491A70"/>
    <w:rsid w:val="004C54D9"/>
    <w:rsid w:val="004E4004"/>
    <w:rsid w:val="004F7936"/>
    <w:rsid w:val="005149C7"/>
    <w:rsid w:val="00515833"/>
    <w:rsid w:val="005223E9"/>
    <w:rsid w:val="0059600C"/>
    <w:rsid w:val="005E0288"/>
    <w:rsid w:val="005E1A36"/>
    <w:rsid w:val="0060625D"/>
    <w:rsid w:val="00663964"/>
    <w:rsid w:val="006720AA"/>
    <w:rsid w:val="00681F73"/>
    <w:rsid w:val="00695029"/>
    <w:rsid w:val="006D2ABF"/>
    <w:rsid w:val="00700CAC"/>
    <w:rsid w:val="007133BF"/>
    <w:rsid w:val="00731278"/>
    <w:rsid w:val="00732FC2"/>
    <w:rsid w:val="00741AFC"/>
    <w:rsid w:val="0075536A"/>
    <w:rsid w:val="00773F30"/>
    <w:rsid w:val="00776038"/>
    <w:rsid w:val="007948DD"/>
    <w:rsid w:val="007B2798"/>
    <w:rsid w:val="008159C3"/>
    <w:rsid w:val="008522D3"/>
    <w:rsid w:val="00860545"/>
    <w:rsid w:val="008829A8"/>
    <w:rsid w:val="008B2693"/>
    <w:rsid w:val="009709EA"/>
    <w:rsid w:val="009B31BD"/>
    <w:rsid w:val="009E23CF"/>
    <w:rsid w:val="009F20D2"/>
    <w:rsid w:val="00A078CF"/>
    <w:rsid w:val="00A210CA"/>
    <w:rsid w:val="00A429E7"/>
    <w:rsid w:val="00A71FAF"/>
    <w:rsid w:val="00A72961"/>
    <w:rsid w:val="00A73727"/>
    <w:rsid w:val="00AA01DC"/>
    <w:rsid w:val="00AD0AD9"/>
    <w:rsid w:val="00AE2B9F"/>
    <w:rsid w:val="00B35B39"/>
    <w:rsid w:val="00B5740E"/>
    <w:rsid w:val="00B6791A"/>
    <w:rsid w:val="00B70A81"/>
    <w:rsid w:val="00B70BEB"/>
    <w:rsid w:val="00B818E2"/>
    <w:rsid w:val="00BC3A6C"/>
    <w:rsid w:val="00C35B7F"/>
    <w:rsid w:val="00C57860"/>
    <w:rsid w:val="00CB09FC"/>
    <w:rsid w:val="00CC72F5"/>
    <w:rsid w:val="00CE2E03"/>
    <w:rsid w:val="00CE7753"/>
    <w:rsid w:val="00D07B40"/>
    <w:rsid w:val="00D11F98"/>
    <w:rsid w:val="00D12E91"/>
    <w:rsid w:val="00D448A8"/>
    <w:rsid w:val="00D4563F"/>
    <w:rsid w:val="00DA361C"/>
    <w:rsid w:val="00DF7776"/>
    <w:rsid w:val="00E13214"/>
    <w:rsid w:val="00E85EA6"/>
    <w:rsid w:val="00F012CF"/>
    <w:rsid w:val="00F04A6B"/>
    <w:rsid w:val="00F13FE8"/>
    <w:rsid w:val="00F155FE"/>
    <w:rsid w:val="00F235AA"/>
    <w:rsid w:val="00F31701"/>
    <w:rsid w:val="00F42529"/>
    <w:rsid w:val="00F443E1"/>
    <w:rsid w:val="00F936D4"/>
    <w:rsid w:val="00FF4D6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46173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92D"/>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92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3733">
      <w:bodyDiv w:val="1"/>
      <w:marLeft w:val="0"/>
      <w:marRight w:val="0"/>
      <w:marTop w:val="0"/>
      <w:marBottom w:val="0"/>
      <w:divBdr>
        <w:top w:val="none" w:sz="0" w:space="0" w:color="auto"/>
        <w:left w:val="none" w:sz="0" w:space="0" w:color="auto"/>
        <w:bottom w:val="none" w:sz="0" w:space="0" w:color="auto"/>
        <w:right w:val="none" w:sz="0" w:space="0" w:color="auto"/>
      </w:divBdr>
    </w:div>
    <w:div w:id="571737831">
      <w:bodyDiv w:val="1"/>
      <w:marLeft w:val="0"/>
      <w:marRight w:val="0"/>
      <w:marTop w:val="0"/>
      <w:marBottom w:val="0"/>
      <w:divBdr>
        <w:top w:val="none" w:sz="0" w:space="0" w:color="auto"/>
        <w:left w:val="none" w:sz="0" w:space="0" w:color="auto"/>
        <w:bottom w:val="none" w:sz="0" w:space="0" w:color="auto"/>
        <w:right w:val="none" w:sz="0" w:space="0" w:color="auto"/>
      </w:divBdr>
      <w:divsChild>
        <w:div w:id="1111168645">
          <w:marLeft w:val="418"/>
          <w:marRight w:val="0"/>
          <w:marTop w:val="115"/>
          <w:marBottom w:val="0"/>
          <w:divBdr>
            <w:top w:val="none" w:sz="0" w:space="0" w:color="auto"/>
            <w:left w:val="none" w:sz="0" w:space="0" w:color="auto"/>
            <w:bottom w:val="none" w:sz="0" w:space="0" w:color="auto"/>
            <w:right w:val="none" w:sz="0" w:space="0" w:color="auto"/>
          </w:divBdr>
        </w:div>
        <w:div w:id="1805851337">
          <w:marLeft w:val="418"/>
          <w:marRight w:val="0"/>
          <w:marTop w:val="115"/>
          <w:marBottom w:val="0"/>
          <w:divBdr>
            <w:top w:val="none" w:sz="0" w:space="0" w:color="auto"/>
            <w:left w:val="none" w:sz="0" w:space="0" w:color="auto"/>
            <w:bottom w:val="none" w:sz="0" w:space="0" w:color="auto"/>
            <w:right w:val="none" w:sz="0" w:space="0" w:color="auto"/>
          </w:divBdr>
        </w:div>
        <w:div w:id="1538196664">
          <w:marLeft w:val="418"/>
          <w:marRight w:val="0"/>
          <w:marTop w:val="115"/>
          <w:marBottom w:val="0"/>
          <w:divBdr>
            <w:top w:val="none" w:sz="0" w:space="0" w:color="auto"/>
            <w:left w:val="none" w:sz="0" w:space="0" w:color="auto"/>
            <w:bottom w:val="none" w:sz="0" w:space="0" w:color="auto"/>
            <w:right w:val="none" w:sz="0" w:space="0" w:color="auto"/>
          </w:divBdr>
        </w:div>
        <w:div w:id="1511676288">
          <w:marLeft w:val="1008"/>
          <w:marRight w:val="0"/>
          <w:marTop w:val="101"/>
          <w:marBottom w:val="0"/>
          <w:divBdr>
            <w:top w:val="none" w:sz="0" w:space="0" w:color="auto"/>
            <w:left w:val="none" w:sz="0" w:space="0" w:color="auto"/>
            <w:bottom w:val="none" w:sz="0" w:space="0" w:color="auto"/>
            <w:right w:val="none" w:sz="0" w:space="0" w:color="auto"/>
          </w:divBdr>
        </w:div>
        <w:div w:id="1139417752">
          <w:marLeft w:val="418"/>
          <w:marRight w:val="0"/>
          <w:marTop w:val="115"/>
          <w:marBottom w:val="0"/>
          <w:divBdr>
            <w:top w:val="none" w:sz="0" w:space="0" w:color="auto"/>
            <w:left w:val="none" w:sz="0" w:space="0" w:color="auto"/>
            <w:bottom w:val="none" w:sz="0" w:space="0" w:color="auto"/>
            <w:right w:val="none" w:sz="0" w:space="0" w:color="auto"/>
          </w:divBdr>
        </w:div>
        <w:div w:id="715010244">
          <w:marLeft w:val="1008"/>
          <w:marRight w:val="0"/>
          <w:marTop w:val="101"/>
          <w:marBottom w:val="0"/>
          <w:divBdr>
            <w:top w:val="none" w:sz="0" w:space="0" w:color="auto"/>
            <w:left w:val="none" w:sz="0" w:space="0" w:color="auto"/>
            <w:bottom w:val="none" w:sz="0" w:space="0" w:color="auto"/>
            <w:right w:val="none" w:sz="0" w:space="0" w:color="auto"/>
          </w:divBdr>
        </w:div>
        <w:div w:id="1060329780">
          <w:marLeft w:val="1008"/>
          <w:marRight w:val="0"/>
          <w:marTop w:val="101"/>
          <w:marBottom w:val="0"/>
          <w:divBdr>
            <w:top w:val="none" w:sz="0" w:space="0" w:color="auto"/>
            <w:left w:val="none" w:sz="0" w:space="0" w:color="auto"/>
            <w:bottom w:val="none" w:sz="0" w:space="0" w:color="auto"/>
            <w:right w:val="none" w:sz="0" w:space="0" w:color="auto"/>
          </w:divBdr>
        </w:div>
        <w:div w:id="217592107">
          <w:marLeft w:val="1008"/>
          <w:marRight w:val="0"/>
          <w:marTop w:val="101"/>
          <w:marBottom w:val="0"/>
          <w:divBdr>
            <w:top w:val="none" w:sz="0" w:space="0" w:color="auto"/>
            <w:left w:val="none" w:sz="0" w:space="0" w:color="auto"/>
            <w:bottom w:val="none" w:sz="0" w:space="0" w:color="auto"/>
            <w:right w:val="none" w:sz="0" w:space="0" w:color="auto"/>
          </w:divBdr>
        </w:div>
        <w:div w:id="1579942459">
          <w:marLeft w:val="1008"/>
          <w:marRight w:val="0"/>
          <w:marTop w:val="101"/>
          <w:marBottom w:val="0"/>
          <w:divBdr>
            <w:top w:val="none" w:sz="0" w:space="0" w:color="auto"/>
            <w:left w:val="none" w:sz="0" w:space="0" w:color="auto"/>
            <w:bottom w:val="none" w:sz="0" w:space="0" w:color="auto"/>
            <w:right w:val="none" w:sz="0" w:space="0" w:color="auto"/>
          </w:divBdr>
        </w:div>
      </w:divsChild>
    </w:div>
    <w:div w:id="895778608">
      <w:bodyDiv w:val="1"/>
      <w:marLeft w:val="0"/>
      <w:marRight w:val="0"/>
      <w:marTop w:val="0"/>
      <w:marBottom w:val="0"/>
      <w:divBdr>
        <w:top w:val="none" w:sz="0" w:space="0" w:color="auto"/>
        <w:left w:val="none" w:sz="0" w:space="0" w:color="auto"/>
        <w:bottom w:val="none" w:sz="0" w:space="0" w:color="auto"/>
        <w:right w:val="none" w:sz="0" w:space="0" w:color="auto"/>
      </w:divBdr>
    </w:div>
    <w:div w:id="10391658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Balance and Hearing Center NW</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Owen Black</dc:creator>
  <cp:keywords/>
  <cp:lastModifiedBy>Mary Dornhoffer</cp:lastModifiedBy>
  <cp:revision>2</cp:revision>
  <cp:lastPrinted>2010-10-18T15:38:00Z</cp:lastPrinted>
  <dcterms:created xsi:type="dcterms:W3CDTF">2019-12-29T01:26:00Z</dcterms:created>
  <dcterms:modified xsi:type="dcterms:W3CDTF">2019-12-29T01:26:00Z</dcterms:modified>
</cp:coreProperties>
</file>